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A08E" w14:textId="2BF94180" w:rsidR="00447998" w:rsidRPr="007728E8" w:rsidRDefault="00447998" w:rsidP="00447998">
      <w:pPr>
        <w:pStyle w:val="CRCoverPage"/>
        <w:tabs>
          <w:tab w:val="right" w:pos="9639"/>
        </w:tabs>
        <w:spacing w:after="0"/>
        <w:rPr>
          <w:b/>
          <w:i/>
          <w:noProof/>
          <w:sz w:val="28"/>
        </w:rPr>
      </w:pPr>
      <w:r>
        <w:rPr>
          <w:b/>
          <w:bCs/>
          <w:sz w:val="24"/>
          <w:szCs w:val="24"/>
          <w:lang w:eastAsia="ja-JP"/>
        </w:rPr>
        <w:t>3GPP TSG-RAN WG2 Meeting #</w:t>
      </w:r>
      <w:r w:rsidR="00390882">
        <w:rPr>
          <w:b/>
          <w:bCs/>
          <w:sz w:val="24"/>
          <w:szCs w:val="24"/>
          <w:lang w:eastAsia="ja-JP"/>
        </w:rPr>
        <w:t>12</w:t>
      </w:r>
      <w:r w:rsidR="00777F7E">
        <w:rPr>
          <w:b/>
          <w:bCs/>
          <w:sz w:val="24"/>
          <w:szCs w:val="24"/>
          <w:lang w:eastAsia="ja-JP"/>
        </w:rPr>
        <w:t>1</w:t>
      </w:r>
      <w:r>
        <w:rPr>
          <w:b/>
          <w:i/>
          <w:noProof/>
          <w:sz w:val="28"/>
        </w:rPr>
        <w:tab/>
        <w:t xml:space="preserve"> </w:t>
      </w:r>
      <w:r w:rsidRPr="00DC2CA2">
        <w:rPr>
          <w:b/>
          <w:noProof/>
          <w:sz w:val="28"/>
        </w:rPr>
        <w:t>R2-</w:t>
      </w:r>
      <w:r>
        <w:rPr>
          <w:b/>
          <w:noProof/>
          <w:sz w:val="28"/>
        </w:rPr>
        <w:t>2</w:t>
      </w:r>
      <w:r w:rsidR="00777F7E">
        <w:rPr>
          <w:b/>
          <w:noProof/>
          <w:sz w:val="28"/>
        </w:rPr>
        <w:t>30</w:t>
      </w:r>
      <w:r w:rsidR="00AF56FB">
        <w:rPr>
          <w:b/>
          <w:noProof/>
          <w:sz w:val="28"/>
        </w:rPr>
        <w:t>0273</w:t>
      </w:r>
    </w:p>
    <w:p w14:paraId="17B55DAD" w14:textId="132BBA7A" w:rsidR="00447998" w:rsidRDefault="00777F7E" w:rsidP="00447998">
      <w:pPr>
        <w:pStyle w:val="CRCoverPage"/>
        <w:rPr>
          <w:b/>
          <w:noProof/>
          <w:sz w:val="24"/>
        </w:rPr>
      </w:pPr>
      <w:r>
        <w:rPr>
          <w:b/>
          <w:sz w:val="24"/>
          <w:szCs w:val="24"/>
        </w:rPr>
        <w:t>Athens</w:t>
      </w:r>
      <w:r w:rsidR="009E2963">
        <w:rPr>
          <w:b/>
          <w:sz w:val="24"/>
          <w:szCs w:val="24"/>
        </w:rPr>
        <w:t xml:space="preserve"> </w:t>
      </w:r>
      <w:r>
        <w:rPr>
          <w:b/>
          <w:sz w:val="24"/>
          <w:szCs w:val="24"/>
        </w:rPr>
        <w:t>Greece</w:t>
      </w:r>
      <w:r w:rsidR="009E2963">
        <w:rPr>
          <w:b/>
          <w:sz w:val="24"/>
          <w:szCs w:val="24"/>
        </w:rPr>
        <w:t>,</w:t>
      </w:r>
      <w:r w:rsidR="00447998">
        <w:rPr>
          <w:b/>
          <w:sz w:val="24"/>
          <w:szCs w:val="24"/>
        </w:rPr>
        <w:t xml:space="preserve"> </w:t>
      </w:r>
      <w:r>
        <w:rPr>
          <w:b/>
          <w:sz w:val="24"/>
          <w:szCs w:val="24"/>
        </w:rPr>
        <w:t>27</w:t>
      </w:r>
      <w:r w:rsidR="00447998" w:rsidRPr="00AD09EF">
        <w:rPr>
          <w:b/>
          <w:sz w:val="24"/>
          <w:szCs w:val="24"/>
          <w:vertAlign w:val="superscript"/>
        </w:rPr>
        <w:t>th</w:t>
      </w:r>
      <w:r w:rsidR="00DC5EF1">
        <w:rPr>
          <w:b/>
          <w:sz w:val="24"/>
          <w:szCs w:val="24"/>
          <w:vertAlign w:val="superscript"/>
        </w:rPr>
        <w:t xml:space="preserve"> </w:t>
      </w:r>
      <w:r>
        <w:rPr>
          <w:b/>
          <w:sz w:val="24"/>
          <w:szCs w:val="24"/>
        </w:rPr>
        <w:t>Feb –</w:t>
      </w:r>
      <w:r w:rsidR="00447998">
        <w:rPr>
          <w:b/>
          <w:sz w:val="24"/>
          <w:szCs w:val="24"/>
        </w:rPr>
        <w:t xml:space="preserve"> </w:t>
      </w:r>
      <w:r>
        <w:rPr>
          <w:b/>
          <w:sz w:val="24"/>
          <w:szCs w:val="24"/>
        </w:rPr>
        <w:t>03</w:t>
      </w:r>
      <w:r>
        <w:rPr>
          <w:b/>
          <w:sz w:val="24"/>
          <w:szCs w:val="24"/>
          <w:vertAlign w:val="superscript"/>
        </w:rPr>
        <w:t>rd</w:t>
      </w:r>
      <w:r w:rsidR="00447998">
        <w:rPr>
          <w:b/>
          <w:sz w:val="24"/>
          <w:szCs w:val="24"/>
        </w:rPr>
        <w:t xml:space="preserve"> </w:t>
      </w:r>
      <w:r>
        <w:rPr>
          <w:b/>
          <w:sz w:val="24"/>
          <w:szCs w:val="24"/>
        </w:rPr>
        <w:t>March</w:t>
      </w:r>
      <w:r w:rsidR="00447998" w:rsidRPr="009E4773">
        <w:rPr>
          <w:b/>
          <w:sz w:val="24"/>
          <w:szCs w:val="24"/>
        </w:rPr>
        <w:t xml:space="preserve"> </w:t>
      </w:r>
      <w:r w:rsidR="00447998">
        <w:rPr>
          <w:b/>
          <w:sz w:val="24"/>
          <w:szCs w:val="24"/>
        </w:rPr>
        <w:t>202</w:t>
      </w:r>
      <w:r>
        <w:rPr>
          <w:b/>
          <w:sz w:val="24"/>
          <w:szCs w:val="24"/>
        </w:rPr>
        <w:t>3</w:t>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r w:rsidR="00447998">
        <w:rPr>
          <w:b/>
          <w:sz w:val="24"/>
          <w:szCs w:val="24"/>
        </w:rPr>
        <w:tab/>
      </w:r>
    </w:p>
    <w:p w14:paraId="23D77384" w14:textId="5CFBF348" w:rsidR="00447998" w:rsidRPr="009A6513" w:rsidRDefault="00447998" w:rsidP="00447998">
      <w:pPr>
        <w:pStyle w:val="CRCoverPage"/>
        <w:ind w:left="1988" w:hanging="1988"/>
        <w:rPr>
          <w:b/>
          <w:noProof/>
          <w:sz w:val="24"/>
        </w:rPr>
      </w:pPr>
      <w:r>
        <w:rPr>
          <w:b/>
          <w:noProof/>
          <w:sz w:val="24"/>
        </w:rPr>
        <w:t>Agenda Item:</w:t>
      </w:r>
      <w:r>
        <w:rPr>
          <w:b/>
          <w:noProof/>
          <w:sz w:val="24"/>
        </w:rPr>
        <w:tab/>
        <w:t>8.6.1</w:t>
      </w:r>
      <w:r w:rsidRPr="00D26A64">
        <w:rPr>
          <w:b/>
          <w:noProof/>
          <w:sz w:val="24"/>
        </w:rPr>
        <w:t xml:space="preserve"> </w:t>
      </w:r>
    </w:p>
    <w:p w14:paraId="1B77553D" w14:textId="77777777" w:rsidR="00447998" w:rsidRPr="009A6513" w:rsidRDefault="00447998" w:rsidP="00447998">
      <w:pPr>
        <w:pStyle w:val="CRCoverPage"/>
        <w:ind w:left="1988" w:hanging="1988"/>
        <w:rPr>
          <w:b/>
          <w:noProof/>
          <w:sz w:val="24"/>
        </w:rPr>
      </w:pPr>
      <w:r>
        <w:rPr>
          <w:b/>
          <w:noProof/>
          <w:sz w:val="24"/>
        </w:rPr>
        <w:t>Souce:</w:t>
      </w:r>
      <w:r>
        <w:rPr>
          <w:b/>
          <w:noProof/>
          <w:sz w:val="24"/>
        </w:rPr>
        <w:tab/>
        <w:t>MediaTek Inc.</w:t>
      </w:r>
    </w:p>
    <w:p w14:paraId="4C0DC72C" w14:textId="64EBB4F2" w:rsidR="00447998" w:rsidRPr="00C93A3C" w:rsidRDefault="00447998" w:rsidP="00447998">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3B538E">
        <w:rPr>
          <w:b/>
          <w:noProof/>
          <w:sz w:val="24"/>
        </w:rPr>
        <w:t>List of RAN2 Agreements</w:t>
      </w:r>
      <w:r w:rsidR="00363942">
        <w:rPr>
          <w:b/>
          <w:noProof/>
          <w:sz w:val="24"/>
        </w:rPr>
        <w:t xml:space="preserve"> in IoT-NTN</w:t>
      </w:r>
    </w:p>
    <w:bookmarkEnd w:id="0"/>
    <w:bookmarkEnd w:id="1"/>
    <w:p w14:paraId="479EBDCC" w14:textId="1B15CEC7" w:rsidR="00447998" w:rsidRPr="00E15E7F" w:rsidRDefault="00447998" w:rsidP="00447998">
      <w:pPr>
        <w:pStyle w:val="CRCoverPage"/>
        <w:rPr>
          <w:b/>
          <w:noProof/>
          <w:sz w:val="24"/>
        </w:rPr>
      </w:pPr>
      <w:r w:rsidRPr="002C6D48">
        <w:rPr>
          <w:b/>
          <w:noProof/>
          <w:sz w:val="24"/>
        </w:rPr>
        <w:t>Document for:</w:t>
      </w:r>
      <w:r w:rsidRPr="002C6D48">
        <w:rPr>
          <w:b/>
          <w:noProof/>
          <w:sz w:val="24"/>
        </w:rPr>
        <w:tab/>
      </w:r>
      <w:r>
        <w:rPr>
          <w:b/>
          <w:noProof/>
          <w:sz w:val="24"/>
        </w:rPr>
        <w:t xml:space="preserve">    Discussion and decision</w:t>
      </w:r>
    </w:p>
    <w:p w14:paraId="2FE41AA5" w14:textId="77777777" w:rsidR="00447998" w:rsidRPr="008321E7" w:rsidRDefault="00447998" w:rsidP="00447998">
      <w:pPr>
        <w:pStyle w:val="Heading1"/>
        <w:rPr>
          <w:b/>
          <w:lang w:val="en-US" w:eastAsia="ko-KR"/>
        </w:rPr>
      </w:pPr>
      <w:r w:rsidRPr="008321E7">
        <w:rPr>
          <w:b/>
          <w:lang w:val="en-US" w:eastAsia="ko-KR"/>
        </w:rPr>
        <w:t>1 Introduction</w:t>
      </w:r>
    </w:p>
    <w:p w14:paraId="73B11460" w14:textId="06EFACEF" w:rsidR="003B538E" w:rsidRDefault="00A25CE3" w:rsidP="008A0759">
      <w:pPr>
        <w:tabs>
          <w:tab w:val="left" w:pos="1622"/>
        </w:tabs>
        <w:spacing w:after="0"/>
        <w:jc w:val="both"/>
        <w:rPr>
          <w:rFonts w:ascii="Arial" w:hAnsi="Arial" w:cs="Arial"/>
          <w:color w:val="FF0000"/>
          <w:lang w:val="en-US"/>
        </w:rPr>
      </w:pPr>
      <w:r w:rsidRPr="00B02DC2">
        <w:rPr>
          <w:rFonts w:ascii="Arial" w:hAnsi="Arial" w:cs="Arial"/>
          <w:lang w:eastAsia="en-GB"/>
        </w:rPr>
        <w:t xml:space="preserve">Rel-18 enhancements for </w:t>
      </w:r>
      <w:r>
        <w:rPr>
          <w:rFonts w:ascii="Arial" w:hAnsi="Arial" w:cs="Arial"/>
          <w:lang w:eastAsia="en-GB"/>
        </w:rPr>
        <w:t>IoT</w:t>
      </w:r>
      <w:r w:rsidRPr="00B02DC2">
        <w:rPr>
          <w:rFonts w:ascii="Arial" w:hAnsi="Arial" w:cs="Arial"/>
          <w:lang w:eastAsia="en-GB"/>
        </w:rPr>
        <w:t xml:space="preserve">-NTN </w:t>
      </w:r>
      <w:r>
        <w:rPr>
          <w:rFonts w:ascii="Arial" w:hAnsi="Arial" w:cs="Arial"/>
          <w:lang w:eastAsia="en-GB"/>
        </w:rPr>
        <w:t xml:space="preserve">Work Item </w:t>
      </w:r>
      <w:r w:rsidRPr="00B02DC2">
        <w:rPr>
          <w:rFonts w:ascii="Arial" w:hAnsi="Arial" w:cs="Arial"/>
          <w:lang w:eastAsia="en-GB"/>
        </w:rPr>
        <w:t>was approved at RAN Plenary #9</w:t>
      </w:r>
      <w:r>
        <w:rPr>
          <w:rFonts w:ascii="Arial" w:hAnsi="Arial" w:cs="Arial"/>
          <w:lang w:eastAsia="en-GB"/>
        </w:rPr>
        <w:t>6</w:t>
      </w:r>
      <w:r w:rsidRPr="00B02DC2">
        <w:rPr>
          <w:rFonts w:ascii="Arial" w:hAnsi="Arial" w:cs="Arial"/>
          <w:lang w:eastAsia="en-GB"/>
        </w:rPr>
        <w:t>e</w:t>
      </w:r>
      <w:r>
        <w:rPr>
          <w:rFonts w:ascii="Arial" w:hAnsi="Arial" w:cs="Arial"/>
          <w:lang w:eastAsia="en-GB"/>
        </w:rPr>
        <w:t xml:space="preserve"> </w:t>
      </w:r>
      <w:r>
        <w:rPr>
          <w:rFonts w:ascii="Arial" w:hAnsi="Arial" w:cs="Arial"/>
          <w:lang w:eastAsia="en-GB"/>
        </w:rPr>
        <w:fldChar w:fldCharType="begin"/>
      </w:r>
      <w:r>
        <w:rPr>
          <w:rFonts w:ascii="Arial" w:hAnsi="Arial" w:cs="Arial"/>
          <w:lang w:eastAsia="en-GB"/>
        </w:rPr>
        <w:instrText xml:space="preserve"> REF _Ref109647240 \r \h </w:instrText>
      </w:r>
      <w:r>
        <w:rPr>
          <w:rFonts w:ascii="Arial" w:hAnsi="Arial" w:cs="Arial"/>
          <w:lang w:eastAsia="en-GB"/>
        </w:rPr>
      </w:r>
      <w:r>
        <w:rPr>
          <w:rFonts w:ascii="Arial" w:hAnsi="Arial" w:cs="Arial"/>
          <w:lang w:eastAsia="en-GB"/>
        </w:rPr>
        <w:fldChar w:fldCharType="separate"/>
      </w:r>
      <w:r>
        <w:rPr>
          <w:rFonts w:ascii="Arial" w:hAnsi="Arial" w:cs="Arial"/>
          <w:lang w:eastAsia="en-GB"/>
        </w:rPr>
        <w:t>[1]</w:t>
      </w:r>
      <w:r>
        <w:rPr>
          <w:rFonts w:ascii="Arial" w:hAnsi="Arial" w:cs="Arial"/>
          <w:lang w:eastAsia="en-GB"/>
        </w:rPr>
        <w:fldChar w:fldCharType="end"/>
      </w:r>
      <w:r w:rsidRPr="00B02DC2">
        <w:rPr>
          <w:rFonts w:ascii="Arial" w:hAnsi="Arial" w:cs="Arial"/>
          <w:lang w:eastAsia="en-GB"/>
        </w:rPr>
        <w:fldChar w:fldCharType="begin"/>
      </w:r>
      <w:r w:rsidRPr="00B02DC2">
        <w:rPr>
          <w:rFonts w:ascii="Arial" w:hAnsi="Arial" w:cs="Arial"/>
          <w:lang w:eastAsia="en-GB"/>
        </w:rPr>
        <w:instrText xml:space="preserve"> REF _Ref109644185 \r \h </w:instrText>
      </w:r>
      <w:r>
        <w:rPr>
          <w:rFonts w:ascii="Arial" w:hAnsi="Arial" w:cs="Arial"/>
          <w:lang w:eastAsia="en-GB"/>
        </w:rPr>
        <w:instrText xml:space="preserve"> \* MERGEFORMAT </w:instrText>
      </w:r>
      <w:r w:rsidRPr="00B02DC2">
        <w:rPr>
          <w:rFonts w:ascii="Arial" w:hAnsi="Arial" w:cs="Arial"/>
          <w:lang w:eastAsia="en-GB"/>
        </w:rPr>
      </w:r>
      <w:r w:rsidRPr="00B02DC2">
        <w:rPr>
          <w:rFonts w:ascii="Arial" w:hAnsi="Arial" w:cs="Arial"/>
          <w:lang w:eastAsia="en-GB"/>
        </w:rPr>
        <w:fldChar w:fldCharType="end"/>
      </w:r>
      <w:r w:rsidRPr="00B02DC2">
        <w:rPr>
          <w:rFonts w:ascii="Arial" w:hAnsi="Arial" w:cs="Arial"/>
          <w:lang w:eastAsia="en-GB"/>
        </w:rPr>
        <w:t xml:space="preserve">. </w:t>
      </w:r>
      <w:r>
        <w:rPr>
          <w:rFonts w:ascii="Arial" w:eastAsia="MS Mincho" w:hAnsi="Arial" w:cs="Arial" w:hint="eastAsia"/>
          <w:szCs w:val="24"/>
          <w:lang w:eastAsia="en-GB"/>
        </w:rPr>
        <w:t>D</w:t>
      </w:r>
      <w:r>
        <w:rPr>
          <w:rFonts w:ascii="Arial" w:eastAsia="MS Mincho" w:hAnsi="Arial" w:cs="Arial"/>
          <w:szCs w:val="24"/>
          <w:lang w:eastAsia="en-GB"/>
        </w:rPr>
        <w:t xml:space="preserve">uring </w:t>
      </w:r>
      <w:bookmarkStart w:id="2" w:name="_Hlk118363209"/>
      <w:r>
        <w:rPr>
          <w:rFonts w:ascii="Arial" w:eastAsia="MS Mincho" w:hAnsi="Arial" w:cs="Arial"/>
          <w:szCs w:val="24"/>
          <w:lang w:eastAsia="en-GB"/>
        </w:rPr>
        <w:t>RAN2#119</w:t>
      </w:r>
      <w:r w:rsidR="008A0759">
        <w:rPr>
          <w:rFonts w:ascii="Arial" w:eastAsia="MS Mincho" w:hAnsi="Arial" w:cs="Arial"/>
          <w:szCs w:val="24"/>
          <w:lang w:eastAsia="en-GB"/>
        </w:rPr>
        <w:t>-e</w:t>
      </w:r>
      <w:r w:rsidR="00D30AF6">
        <w:rPr>
          <w:rFonts w:ascii="Arial" w:eastAsia="MS Mincho" w:hAnsi="Arial" w:cs="Arial"/>
          <w:szCs w:val="24"/>
          <w:lang w:eastAsia="en-GB"/>
        </w:rPr>
        <w:t xml:space="preserve"> </w:t>
      </w:r>
      <w:bookmarkEnd w:id="2"/>
      <w:r w:rsidR="00D30AF6">
        <w:rPr>
          <w:rFonts w:ascii="Arial" w:eastAsia="MS Mincho" w:hAnsi="Arial" w:cs="Arial"/>
          <w:szCs w:val="24"/>
          <w:lang w:eastAsia="en-GB"/>
        </w:rPr>
        <w:t>[2]</w:t>
      </w:r>
      <w:r>
        <w:rPr>
          <w:rFonts w:ascii="Arial" w:eastAsia="MS Mincho" w:hAnsi="Arial" w:cs="Arial"/>
          <w:szCs w:val="24"/>
          <w:lang w:eastAsia="en-GB"/>
        </w:rPr>
        <w:t xml:space="preserve">, some important agreements are made. </w:t>
      </w:r>
      <w:r w:rsidR="00D30AF6">
        <w:rPr>
          <w:rFonts w:ascii="Arial" w:eastAsia="MS Mincho" w:hAnsi="Arial" w:cs="Arial"/>
          <w:szCs w:val="24"/>
          <w:lang w:eastAsia="en-GB"/>
        </w:rPr>
        <w:t>Further agreements are made in RAN2#119bis-e [3]. As</w:t>
      </w:r>
      <w:r w:rsidR="008A0759">
        <w:rPr>
          <w:rFonts w:ascii="Arial" w:eastAsia="MS Mincho" w:hAnsi="Arial" w:cs="Arial"/>
          <w:szCs w:val="24"/>
          <w:lang w:eastAsia="en-GB"/>
        </w:rPr>
        <w:t xml:space="preserve"> we have not decided to start making any Stage-2 running CR yet, this Tdoc is prepared to maintain the list of major RAN2 agreements.</w:t>
      </w:r>
    </w:p>
    <w:p w14:paraId="00FA8D9B" w14:textId="4F9C3E0C" w:rsidR="003B538E" w:rsidRDefault="003B538E">
      <w:pPr>
        <w:spacing w:after="0"/>
        <w:rPr>
          <w:rFonts w:ascii="Arial" w:hAnsi="Arial" w:cs="Arial"/>
          <w:color w:val="FF0000"/>
          <w:lang w:val="en-US"/>
        </w:rPr>
      </w:pPr>
    </w:p>
    <w:p w14:paraId="2B691C17" w14:textId="37BD253C" w:rsidR="008A0759" w:rsidRPr="008321E7" w:rsidRDefault="008A0759" w:rsidP="008A0759">
      <w:pPr>
        <w:pStyle w:val="Heading1"/>
        <w:rPr>
          <w:b/>
          <w:lang w:val="en-US" w:eastAsia="ko-KR"/>
        </w:rPr>
      </w:pPr>
      <w:r w:rsidRPr="008321E7">
        <w:rPr>
          <w:b/>
          <w:lang w:val="en-US" w:eastAsia="ko-KR"/>
        </w:rPr>
        <w:t xml:space="preserve">2 </w:t>
      </w:r>
      <w:r w:rsidRPr="008A0759">
        <w:rPr>
          <w:b/>
          <w:lang w:val="en-US" w:eastAsia="ko-KR"/>
        </w:rPr>
        <w:t>RAN2 Progress and Agreement-List</w:t>
      </w:r>
    </w:p>
    <w:p w14:paraId="1629BD3C" w14:textId="705C230C" w:rsidR="00777F7E" w:rsidRDefault="00777F7E" w:rsidP="00777F7E">
      <w:pPr>
        <w:pStyle w:val="Heading2"/>
        <w:keepNext w:val="0"/>
        <w:rPr>
          <w:lang w:eastAsia="ja-JP"/>
        </w:rPr>
      </w:pPr>
      <w:r>
        <w:rPr>
          <w:lang w:eastAsia="ja-JP"/>
        </w:rPr>
        <w:t>2.1</w:t>
      </w:r>
      <w:r>
        <w:rPr>
          <w:lang w:eastAsia="ja-JP"/>
        </w:rPr>
        <w:tab/>
        <w:t xml:space="preserve">Agreements made in </w:t>
      </w:r>
      <w:r w:rsidRPr="00D30AF6">
        <w:rPr>
          <w:lang w:eastAsia="ja-JP"/>
        </w:rPr>
        <w:t>RAN2#1</w:t>
      </w:r>
      <w:r>
        <w:rPr>
          <w:lang w:eastAsia="ja-JP"/>
        </w:rPr>
        <w:t>20</w:t>
      </w:r>
    </w:p>
    <w:p w14:paraId="5A4D6C1B" w14:textId="77777777" w:rsidR="00777F7E" w:rsidRDefault="00777F7E" w:rsidP="00777F7E">
      <w:pPr>
        <w:rPr>
          <w:b/>
          <w:lang w:eastAsia="ja-JP"/>
        </w:rPr>
      </w:pPr>
      <w:r>
        <w:rPr>
          <w:rFonts w:ascii="Arial" w:hAnsi="Arial" w:cs="Arial"/>
          <w:b/>
          <w:u w:val="single"/>
          <w:lang w:eastAsia="ja-JP"/>
        </w:rPr>
        <w:t>Agreements on “8.6.2 Performance Enhancements”</w:t>
      </w:r>
    </w:p>
    <w:p w14:paraId="67392252" w14:textId="5B5E848E" w:rsidR="00777F7E" w:rsidRDefault="00777F7E" w:rsidP="00777F7E">
      <w:pPr>
        <w:rPr>
          <w:rFonts w:ascii="Arial" w:hAnsi="Arial" w:cs="Arial"/>
          <w:lang w:eastAsia="ja-JP"/>
        </w:rPr>
      </w:pPr>
      <w:r>
        <w:rPr>
          <w:rFonts w:ascii="Arial" w:hAnsi="Arial" w:cs="Arial"/>
          <w:lang w:eastAsia="ja-JP"/>
        </w:rPr>
        <w:t>Agreements:</w:t>
      </w:r>
    </w:p>
    <w:p w14:paraId="2F76D963" w14:textId="15FB3A93" w:rsidR="00C27936" w:rsidRPr="00C27936" w:rsidRDefault="00C27936" w:rsidP="00C27936">
      <w:pPr>
        <w:pStyle w:val="ListParagraph"/>
        <w:numPr>
          <w:ilvl w:val="0"/>
          <w:numId w:val="32"/>
        </w:numPr>
        <w:ind w:leftChars="0"/>
        <w:rPr>
          <w:rFonts w:ascii="Arial" w:hAnsi="Arial" w:cs="Arial"/>
        </w:rPr>
      </w:pPr>
      <w:r w:rsidRPr="00C27936">
        <w:rPr>
          <w:rFonts w:ascii="Arial" w:hAnsi="Arial" w:cs="Arial"/>
        </w:rPr>
        <w:t>For NB-IoT NTN with single HARQ process when the HARQ feedback is disabled, the UE will start/restart drx-inactivity timer in the subframe containing the last repetition of the corresponding PDSCH reception plus 12 subframes.</w:t>
      </w:r>
    </w:p>
    <w:p w14:paraId="54102BE7" w14:textId="04C5632A" w:rsidR="00C27936" w:rsidRDefault="00C27936" w:rsidP="00C27936">
      <w:pPr>
        <w:pStyle w:val="ListParagraph"/>
        <w:numPr>
          <w:ilvl w:val="0"/>
          <w:numId w:val="32"/>
        </w:numPr>
        <w:ind w:leftChars="0"/>
        <w:rPr>
          <w:rFonts w:ascii="Arial" w:hAnsi="Arial" w:cs="Arial"/>
        </w:rPr>
      </w:pPr>
      <w:r w:rsidRPr="00C27936">
        <w:rPr>
          <w:rFonts w:ascii="Arial" w:hAnsi="Arial" w:cs="Arial"/>
        </w:rPr>
        <w:t>RAN2 understands that something needs to be added to consider the processing time also for inactivity timer of HARQ mode B. Continue the discussion on the details in the next meeting.</w:t>
      </w:r>
    </w:p>
    <w:p w14:paraId="0D4115E6" w14:textId="77777777" w:rsidR="00C27936" w:rsidRPr="00C27936" w:rsidRDefault="00C27936" w:rsidP="00C27936">
      <w:pPr>
        <w:pStyle w:val="ListParagraph"/>
        <w:numPr>
          <w:ilvl w:val="0"/>
          <w:numId w:val="32"/>
        </w:numPr>
        <w:ind w:leftChars="0"/>
        <w:rPr>
          <w:rFonts w:ascii="Arial" w:hAnsi="Arial" w:cs="Arial"/>
        </w:rPr>
      </w:pPr>
      <w:r w:rsidRPr="00C27936">
        <w:rPr>
          <w:rFonts w:ascii="Arial" w:hAnsi="Arial" w:cs="Arial"/>
        </w:rPr>
        <w:t xml:space="preserve">For eMTC, the following LCH to HARQ process mapping rules are supported: </w:t>
      </w:r>
    </w:p>
    <w:p w14:paraId="14F1D8EC" w14:textId="2D30AC52" w:rsidR="00C27936" w:rsidRPr="00C27936" w:rsidRDefault="00C27936" w:rsidP="00C27936">
      <w:pPr>
        <w:pStyle w:val="ListParagraph"/>
        <w:ind w:leftChars="0" w:left="720"/>
        <w:rPr>
          <w:rFonts w:ascii="Arial" w:hAnsi="Arial" w:cs="Arial"/>
        </w:rPr>
      </w:pPr>
      <w:r w:rsidRPr="00C27936">
        <w:rPr>
          <w:rFonts w:ascii="Arial" w:hAnsi="Arial" w:cs="Arial"/>
        </w:rPr>
        <w:t>1) LCH is mapped only to a HARQ process configured with HARQ mode A;</w:t>
      </w:r>
    </w:p>
    <w:p w14:paraId="1D1B8A56" w14:textId="0E1EE7F2" w:rsidR="00C27936" w:rsidRPr="00C27936" w:rsidRDefault="00C27936" w:rsidP="00C27936">
      <w:pPr>
        <w:pStyle w:val="ListParagraph"/>
        <w:ind w:leftChars="0" w:left="720"/>
        <w:rPr>
          <w:rFonts w:ascii="Arial" w:hAnsi="Arial" w:cs="Arial"/>
        </w:rPr>
      </w:pPr>
      <w:r w:rsidRPr="00C27936">
        <w:rPr>
          <w:rFonts w:ascii="Arial" w:hAnsi="Arial" w:cs="Arial"/>
        </w:rPr>
        <w:t>2) LCH is mapped only to a HARQ process configured with HARQ mode B;</w:t>
      </w:r>
    </w:p>
    <w:p w14:paraId="4496CC59" w14:textId="52B4F0A0" w:rsidR="00C27936" w:rsidRPr="00C27936" w:rsidRDefault="00C27936" w:rsidP="00C27936">
      <w:pPr>
        <w:pStyle w:val="ListParagraph"/>
        <w:ind w:leftChars="0" w:left="720"/>
        <w:rPr>
          <w:rFonts w:ascii="Arial" w:hAnsi="Arial" w:cs="Arial"/>
        </w:rPr>
      </w:pPr>
      <w:r w:rsidRPr="00C27936">
        <w:rPr>
          <w:rFonts w:ascii="Arial" w:hAnsi="Arial" w:cs="Arial"/>
        </w:rPr>
        <w:t>3) If an LCH is not configured with a mapping rule, it may be mapped to any HARQ process (HARQ mode A or B).</w:t>
      </w:r>
    </w:p>
    <w:p w14:paraId="682A5AA1" w14:textId="02800F6F" w:rsidR="00C27936" w:rsidRPr="00C27936" w:rsidRDefault="00C27936" w:rsidP="00C27936">
      <w:pPr>
        <w:pStyle w:val="ListParagraph"/>
        <w:ind w:leftChars="0" w:left="720"/>
        <w:rPr>
          <w:rFonts w:ascii="Arial" w:hAnsi="Arial" w:cs="Arial"/>
        </w:rPr>
      </w:pPr>
      <w:r w:rsidRPr="00C27936">
        <w:rPr>
          <w:rFonts w:ascii="Arial" w:hAnsi="Arial" w:cs="Arial"/>
        </w:rPr>
        <w:t>4) If UL HARQ mode is not configured, LCH mapping rules are not supported (legacy behaviour)</w:t>
      </w:r>
    </w:p>
    <w:p w14:paraId="2379F416" w14:textId="4862C03E" w:rsidR="00C27936" w:rsidRDefault="00C27936" w:rsidP="00C27936">
      <w:pPr>
        <w:pStyle w:val="ListParagraph"/>
        <w:numPr>
          <w:ilvl w:val="0"/>
          <w:numId w:val="32"/>
        </w:numPr>
        <w:ind w:leftChars="0"/>
        <w:rPr>
          <w:rFonts w:ascii="Arial" w:hAnsi="Arial" w:cs="Arial"/>
        </w:rPr>
      </w:pPr>
      <w:r w:rsidRPr="00C27936">
        <w:rPr>
          <w:rFonts w:ascii="Arial" w:hAnsi="Arial" w:cs="Arial"/>
        </w:rPr>
        <w:t>For eMTC, introduce allowedHARQ-mode for each logical channel, e.g. included in LogicalChannelConfig IE.</w:t>
      </w:r>
    </w:p>
    <w:p w14:paraId="4B840853" w14:textId="3F517D1F" w:rsidR="00C27936" w:rsidRPr="00C27936" w:rsidRDefault="00C27936" w:rsidP="00C27936">
      <w:pPr>
        <w:pStyle w:val="ListParagraph"/>
        <w:numPr>
          <w:ilvl w:val="0"/>
          <w:numId w:val="32"/>
        </w:numPr>
        <w:ind w:leftChars="0"/>
        <w:rPr>
          <w:rFonts w:ascii="Arial" w:hAnsi="Arial" w:cs="Arial"/>
        </w:rPr>
      </w:pPr>
      <w:r w:rsidRPr="00C27936">
        <w:rPr>
          <w:rFonts w:ascii="Arial" w:hAnsi="Arial" w:cs="Arial"/>
        </w:rPr>
        <w:t>An optional UE capability is introduced to indicate whether the UE supports disabling HARQ feedback for downlink transmission.</w:t>
      </w:r>
    </w:p>
    <w:p w14:paraId="0F75DC59" w14:textId="789113C3" w:rsidR="00C27936" w:rsidRPr="00C27936" w:rsidRDefault="00C27936" w:rsidP="00C27936">
      <w:pPr>
        <w:pStyle w:val="ListParagraph"/>
        <w:numPr>
          <w:ilvl w:val="0"/>
          <w:numId w:val="32"/>
        </w:numPr>
        <w:ind w:leftChars="0"/>
        <w:rPr>
          <w:rFonts w:ascii="Arial" w:hAnsi="Arial" w:cs="Arial"/>
        </w:rPr>
      </w:pPr>
      <w:r w:rsidRPr="00C27936">
        <w:rPr>
          <w:rFonts w:ascii="Arial" w:hAnsi="Arial" w:cs="Arial"/>
        </w:rPr>
        <w:t>An optional UE capability is introduced to indicate whether the UE supports HARQ Mode B and, for eMTC, the corresponding LCP restrictions for uplink transmission</w:t>
      </w:r>
    </w:p>
    <w:p w14:paraId="4DA00224" w14:textId="77777777" w:rsidR="00C27936" w:rsidRDefault="00C27936" w:rsidP="00C27936">
      <w:pPr>
        <w:rPr>
          <w:rFonts w:ascii="Arial" w:hAnsi="Arial" w:cs="Arial"/>
          <w:sz w:val="21"/>
          <w:szCs w:val="21"/>
          <w:lang w:eastAsia="ja-JP"/>
        </w:rPr>
      </w:pPr>
    </w:p>
    <w:p w14:paraId="214ADA56" w14:textId="43C091A3" w:rsidR="00C27936" w:rsidRPr="00C27936" w:rsidRDefault="00C27936" w:rsidP="00C27936">
      <w:pPr>
        <w:rPr>
          <w:rFonts w:ascii="Arial" w:hAnsi="Arial" w:cs="Arial"/>
          <w:b/>
          <w:bCs/>
          <w:sz w:val="21"/>
          <w:szCs w:val="21"/>
          <w:u w:val="single"/>
          <w:lang w:eastAsia="ja-JP"/>
        </w:rPr>
      </w:pPr>
      <w:r w:rsidRPr="00C27936">
        <w:rPr>
          <w:rFonts w:ascii="Arial" w:hAnsi="Arial" w:cs="Arial"/>
          <w:b/>
          <w:bCs/>
          <w:sz w:val="21"/>
          <w:szCs w:val="21"/>
          <w:u w:val="single"/>
          <w:lang w:eastAsia="ja-JP"/>
        </w:rPr>
        <w:t>Agreements on “8.6.3 Mobility Enhancements”</w:t>
      </w:r>
    </w:p>
    <w:p w14:paraId="19F6DA45" w14:textId="3DEFB811" w:rsidR="00C27936" w:rsidRPr="00C27936" w:rsidRDefault="00C27936" w:rsidP="00C27936">
      <w:pPr>
        <w:rPr>
          <w:rFonts w:ascii="Arial" w:hAnsi="Arial" w:cs="Arial"/>
          <w:sz w:val="21"/>
          <w:szCs w:val="21"/>
          <w:lang w:eastAsia="ja-JP"/>
        </w:rPr>
      </w:pPr>
      <w:r w:rsidRPr="00C27936">
        <w:rPr>
          <w:rFonts w:ascii="Arial" w:hAnsi="Arial" w:cs="Arial"/>
          <w:sz w:val="21"/>
          <w:szCs w:val="21"/>
          <w:lang w:eastAsia="ja-JP"/>
        </w:rPr>
        <w:t>Agreements:</w:t>
      </w:r>
    </w:p>
    <w:p w14:paraId="300F14A4" w14:textId="6BA067BD" w:rsidR="00C27936" w:rsidRPr="00C27936" w:rsidRDefault="00C27936" w:rsidP="00C27936">
      <w:pPr>
        <w:pStyle w:val="ListParagraph"/>
        <w:numPr>
          <w:ilvl w:val="0"/>
          <w:numId w:val="33"/>
        </w:numPr>
        <w:ind w:leftChars="0"/>
        <w:rPr>
          <w:rFonts w:ascii="Arial" w:hAnsi="Arial" w:cs="Arial"/>
          <w:szCs w:val="21"/>
        </w:rPr>
      </w:pPr>
      <w:r w:rsidRPr="00C27936">
        <w:rPr>
          <w:rFonts w:ascii="Arial" w:hAnsi="Arial" w:cs="Arial"/>
          <w:szCs w:val="21"/>
        </w:rPr>
        <w:t>For NB-IoT we support a trigger for neighbour cell measurements based on T-service (in the quasi-Earth fixed case) (this does not preclude anything for eMTC discussion)</w:t>
      </w:r>
    </w:p>
    <w:p w14:paraId="78F773AB" w14:textId="26658EEE" w:rsidR="00C27936" w:rsidRPr="00C27936" w:rsidRDefault="00C27936" w:rsidP="00C27936">
      <w:pPr>
        <w:pStyle w:val="ListParagraph"/>
        <w:numPr>
          <w:ilvl w:val="0"/>
          <w:numId w:val="33"/>
        </w:numPr>
        <w:ind w:leftChars="0"/>
        <w:rPr>
          <w:rFonts w:ascii="Arial" w:hAnsi="Arial" w:cs="Arial"/>
          <w:szCs w:val="21"/>
        </w:rPr>
      </w:pPr>
      <w:r w:rsidRPr="00C27936">
        <w:rPr>
          <w:rFonts w:ascii="Arial" w:hAnsi="Arial" w:cs="Arial"/>
          <w:szCs w:val="21"/>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481D636D" w14:textId="6E1F8DEC" w:rsidR="00C27936" w:rsidRPr="00C27936" w:rsidRDefault="00C27936" w:rsidP="00C27936">
      <w:pPr>
        <w:pStyle w:val="ListParagraph"/>
        <w:numPr>
          <w:ilvl w:val="0"/>
          <w:numId w:val="33"/>
        </w:numPr>
        <w:ind w:leftChars="0"/>
        <w:rPr>
          <w:rFonts w:ascii="Arial" w:hAnsi="Arial" w:cs="Arial"/>
          <w:szCs w:val="21"/>
        </w:rPr>
      </w:pPr>
      <w:r w:rsidRPr="00C27936">
        <w:rPr>
          <w:rFonts w:ascii="Arial" w:hAnsi="Arial" w:cs="Arial"/>
          <w:szCs w:val="21"/>
        </w:rPr>
        <w:t>RAN2 will not specify the condition of stopping UE measurement before t-Service</w:t>
      </w:r>
    </w:p>
    <w:p w14:paraId="2A7C33A0" w14:textId="009493B7" w:rsidR="00C27936" w:rsidRPr="00C27936" w:rsidRDefault="00C27936" w:rsidP="00C27936">
      <w:pPr>
        <w:pStyle w:val="ListParagraph"/>
        <w:numPr>
          <w:ilvl w:val="0"/>
          <w:numId w:val="33"/>
        </w:numPr>
        <w:ind w:leftChars="0"/>
        <w:rPr>
          <w:rFonts w:ascii="Arial" w:hAnsi="Arial" w:cs="Arial"/>
          <w:szCs w:val="21"/>
        </w:rPr>
      </w:pPr>
      <w:r w:rsidRPr="00C27936">
        <w:rPr>
          <w:rFonts w:ascii="Arial" w:hAnsi="Arial" w:cs="Arial"/>
          <w:szCs w:val="21"/>
        </w:rPr>
        <w:t xml:space="preserve">For earth-moving cell, the UE derives when loss of coverage of current cell happens (how to derive this </w:t>
      </w:r>
      <w:r w:rsidRPr="00C27936">
        <w:rPr>
          <w:rFonts w:ascii="Arial" w:hAnsi="Arial" w:cs="Arial"/>
          <w:szCs w:val="21"/>
        </w:rPr>
        <w:lastRenderedPageBreak/>
        <w:t>information is FFS)</w:t>
      </w:r>
    </w:p>
    <w:p w14:paraId="03B8B852" w14:textId="7967541D" w:rsidR="00C27936" w:rsidRPr="00C27936" w:rsidRDefault="00C27936" w:rsidP="00C27936">
      <w:pPr>
        <w:pStyle w:val="ListParagraph"/>
        <w:numPr>
          <w:ilvl w:val="0"/>
          <w:numId w:val="33"/>
        </w:numPr>
        <w:ind w:leftChars="0"/>
        <w:rPr>
          <w:rFonts w:ascii="Arial" w:hAnsi="Arial" w:cs="Arial"/>
          <w:szCs w:val="21"/>
        </w:rPr>
      </w:pPr>
      <w:r w:rsidRPr="00C27936">
        <w:rPr>
          <w:rFonts w:ascii="Arial" w:hAnsi="Arial" w:cs="Arial"/>
          <w:szCs w:val="21"/>
        </w:rPr>
        <w:t>For earth-moving cell, UE shall start intra/inter frequency measurements in RRC connected mode before losing coverage. The exact time to start measurements can be left to UE implementation.</w:t>
      </w:r>
    </w:p>
    <w:p w14:paraId="29DFEF36" w14:textId="2AA0B97A" w:rsidR="00C27936" w:rsidRPr="00C27936" w:rsidRDefault="00C27936" w:rsidP="00C27936">
      <w:pPr>
        <w:pStyle w:val="ListParagraph"/>
        <w:numPr>
          <w:ilvl w:val="0"/>
          <w:numId w:val="33"/>
        </w:numPr>
        <w:ind w:leftChars="0"/>
        <w:rPr>
          <w:rFonts w:ascii="Arial" w:hAnsi="Arial" w:cs="Arial"/>
          <w:szCs w:val="21"/>
        </w:rPr>
      </w:pPr>
      <w:r w:rsidRPr="00C27936">
        <w:rPr>
          <w:rFonts w:ascii="Arial" w:hAnsi="Arial" w:cs="Arial"/>
          <w:szCs w:val="21"/>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14:paraId="0EE8AB82" w14:textId="7B071F67" w:rsidR="00C27936" w:rsidRPr="00C27936" w:rsidRDefault="00C27936" w:rsidP="00C27936">
      <w:pPr>
        <w:pStyle w:val="ListParagraph"/>
        <w:numPr>
          <w:ilvl w:val="0"/>
          <w:numId w:val="33"/>
        </w:numPr>
        <w:ind w:leftChars="0"/>
        <w:rPr>
          <w:rFonts w:ascii="Arial" w:hAnsi="Arial" w:cs="Arial"/>
          <w:szCs w:val="21"/>
        </w:rPr>
      </w:pPr>
      <w:r w:rsidRPr="00C27936">
        <w:rPr>
          <w:rFonts w:ascii="Arial" w:hAnsi="Arial" w:cs="Arial"/>
          <w:szCs w:val="21"/>
        </w:rPr>
        <w:t>For eMTC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0F08593F" w14:textId="4FE2A08E" w:rsidR="00C27936" w:rsidRPr="00C27936" w:rsidRDefault="00C27936" w:rsidP="00C27936">
      <w:pPr>
        <w:pStyle w:val="ListParagraph"/>
        <w:numPr>
          <w:ilvl w:val="0"/>
          <w:numId w:val="33"/>
        </w:numPr>
        <w:ind w:leftChars="0"/>
        <w:rPr>
          <w:rFonts w:ascii="Arial" w:hAnsi="Arial" w:cs="Arial"/>
          <w:szCs w:val="21"/>
        </w:rPr>
      </w:pPr>
      <w:r w:rsidRPr="00C27936">
        <w:rPr>
          <w:rFonts w:ascii="Arial" w:hAnsi="Arial" w:cs="Arial"/>
          <w:szCs w:val="21"/>
        </w:rPr>
        <w:t>For eMTC NTN, introduce event A4 based conditional trigger (similar to condEventA4 in NR).</w:t>
      </w:r>
    </w:p>
    <w:p w14:paraId="57BDB0F3" w14:textId="5C3499FC" w:rsidR="00C27936" w:rsidRPr="00C27936" w:rsidRDefault="00C27936" w:rsidP="00C27936">
      <w:pPr>
        <w:pStyle w:val="ListParagraph"/>
        <w:numPr>
          <w:ilvl w:val="0"/>
          <w:numId w:val="33"/>
        </w:numPr>
        <w:ind w:leftChars="0"/>
        <w:rPr>
          <w:rFonts w:ascii="Arial" w:hAnsi="Arial" w:cs="Arial"/>
          <w:szCs w:val="21"/>
          <w:lang w:val="en-GB"/>
        </w:rPr>
      </w:pPr>
      <w:r w:rsidRPr="00C27936">
        <w:rPr>
          <w:rFonts w:ascii="Arial" w:hAnsi="Arial" w:cs="Arial"/>
          <w:szCs w:val="21"/>
        </w:rPr>
        <w:t>FFS whether time and location-based trigger conditions may be configured independently (i.e., without a jointly configured event A4 measurement condition) for eMTC NTN.</w:t>
      </w:r>
    </w:p>
    <w:p w14:paraId="4D284271" w14:textId="77777777" w:rsidR="00C27936" w:rsidRPr="00C27936" w:rsidRDefault="00C27936" w:rsidP="00C27936">
      <w:pPr>
        <w:rPr>
          <w:lang w:val="en-US" w:eastAsia="ja-JP"/>
        </w:rPr>
      </w:pPr>
    </w:p>
    <w:p w14:paraId="3AE05CB4" w14:textId="25D4C847" w:rsidR="00D30AF6" w:rsidRDefault="00D30AF6" w:rsidP="00D30AF6">
      <w:pPr>
        <w:pStyle w:val="Heading2"/>
        <w:keepNext w:val="0"/>
        <w:rPr>
          <w:lang w:eastAsia="ja-JP"/>
        </w:rPr>
      </w:pPr>
      <w:r>
        <w:rPr>
          <w:lang w:eastAsia="ja-JP"/>
        </w:rPr>
        <w:t>2.</w:t>
      </w:r>
      <w:r w:rsidR="00777F7E">
        <w:rPr>
          <w:lang w:eastAsia="ja-JP"/>
        </w:rPr>
        <w:t>2</w:t>
      </w:r>
      <w:r>
        <w:rPr>
          <w:lang w:eastAsia="ja-JP"/>
        </w:rPr>
        <w:tab/>
        <w:t xml:space="preserve">Agreements made in </w:t>
      </w:r>
      <w:r w:rsidRPr="00D30AF6">
        <w:rPr>
          <w:lang w:eastAsia="ja-JP"/>
        </w:rPr>
        <w:t>RAN2#119</w:t>
      </w:r>
      <w:r>
        <w:rPr>
          <w:lang w:eastAsia="ja-JP"/>
        </w:rPr>
        <w:t>bis</w:t>
      </w:r>
      <w:r w:rsidRPr="00D30AF6">
        <w:rPr>
          <w:lang w:eastAsia="ja-JP"/>
        </w:rPr>
        <w:t>-e</w:t>
      </w:r>
    </w:p>
    <w:p w14:paraId="6C0459AB" w14:textId="77777777" w:rsidR="00D30AF6" w:rsidRDefault="00D30AF6" w:rsidP="00D30AF6">
      <w:pPr>
        <w:rPr>
          <w:b/>
          <w:lang w:eastAsia="ja-JP"/>
        </w:rPr>
      </w:pPr>
      <w:r>
        <w:rPr>
          <w:rFonts w:ascii="Arial" w:hAnsi="Arial" w:cs="Arial"/>
          <w:b/>
          <w:u w:val="single"/>
          <w:lang w:eastAsia="ja-JP"/>
        </w:rPr>
        <w:t>Agreements on “8.6.2 Performance Enhancements”</w:t>
      </w:r>
    </w:p>
    <w:p w14:paraId="7DF0F578" w14:textId="77777777" w:rsidR="00D30AF6" w:rsidRDefault="00D30AF6" w:rsidP="00D30AF6">
      <w:pPr>
        <w:rPr>
          <w:rFonts w:ascii="Arial" w:hAnsi="Arial" w:cs="Arial"/>
          <w:lang w:eastAsia="ja-JP"/>
        </w:rPr>
      </w:pPr>
      <w:r>
        <w:rPr>
          <w:rFonts w:ascii="Arial" w:hAnsi="Arial" w:cs="Arial"/>
          <w:lang w:eastAsia="ja-JP"/>
        </w:rPr>
        <w:t>Agreements:</w:t>
      </w:r>
    </w:p>
    <w:p w14:paraId="3ED8BDB4" w14:textId="77777777" w:rsidR="00516132" w:rsidRPr="00516132" w:rsidRDefault="00516132" w:rsidP="00516132">
      <w:pPr>
        <w:pStyle w:val="ListParagraph"/>
        <w:numPr>
          <w:ilvl w:val="0"/>
          <w:numId w:val="28"/>
        </w:numPr>
        <w:ind w:leftChars="0"/>
        <w:rPr>
          <w:rFonts w:ascii="Arial" w:hAnsi="Arial" w:cs="Arial"/>
        </w:rPr>
      </w:pPr>
      <w:r w:rsidRPr="00516132">
        <w:rPr>
          <w:rFonts w:ascii="Arial" w:hAnsi="Arial" w:cs="Arial"/>
        </w:rPr>
        <w:t>For NB-IoT, enabling/disabling HARQ feedback can be configured per DL HARQ process at least via UE specific RRC signaling (e.g. RRCConnectionSetup). This does not preclude other options (e.g. DCI-based). We can also revert this decision if requested by RAN1.</w:t>
      </w:r>
    </w:p>
    <w:p w14:paraId="1BF2714B" w14:textId="77777777" w:rsidR="00516132" w:rsidRPr="00516132" w:rsidRDefault="00516132" w:rsidP="00516132">
      <w:pPr>
        <w:pStyle w:val="ListParagraph"/>
        <w:numPr>
          <w:ilvl w:val="0"/>
          <w:numId w:val="28"/>
        </w:numPr>
        <w:ind w:leftChars="0"/>
        <w:rPr>
          <w:rFonts w:ascii="Arial" w:hAnsi="Arial" w:cs="Arial"/>
        </w:rPr>
      </w:pPr>
      <w:r w:rsidRPr="00516132">
        <w:rPr>
          <w:rFonts w:ascii="Arial" w:hAnsi="Arial" w:cs="Arial"/>
        </w:rPr>
        <w:t>Disabling HARQ feedback is supported for NB-IoT with single HARQ process, and it is up to eNB implementation whether to disable the HARQ feedback</w:t>
      </w:r>
    </w:p>
    <w:p w14:paraId="3FCC4229" w14:textId="775D4FFE" w:rsidR="00516132" w:rsidRDefault="00516132" w:rsidP="00516132">
      <w:pPr>
        <w:pStyle w:val="ListParagraph"/>
        <w:numPr>
          <w:ilvl w:val="0"/>
          <w:numId w:val="28"/>
        </w:numPr>
        <w:ind w:leftChars="0"/>
        <w:rPr>
          <w:rFonts w:ascii="Arial" w:hAnsi="Arial" w:cs="Arial"/>
        </w:rPr>
      </w:pPr>
      <w:r w:rsidRPr="00516132">
        <w:rPr>
          <w:rFonts w:ascii="Arial" w:hAnsi="Arial" w:cs="Arial"/>
        </w:rPr>
        <w:t>Working Assumption: Blind retransmission can be used in IoT NTN when HARQ feedback is disabled and when HARQ mode B is used (RAN2 assumes there is no spec change for this)</w:t>
      </w:r>
    </w:p>
    <w:p w14:paraId="4743FC9A" w14:textId="77777777" w:rsidR="00516132" w:rsidRPr="00516132" w:rsidRDefault="00516132" w:rsidP="00516132">
      <w:pPr>
        <w:pStyle w:val="ListParagraph"/>
        <w:numPr>
          <w:ilvl w:val="0"/>
          <w:numId w:val="28"/>
        </w:numPr>
        <w:ind w:leftChars="0"/>
        <w:rPr>
          <w:rFonts w:ascii="Arial" w:hAnsi="Arial" w:cs="Arial"/>
        </w:rPr>
      </w:pPr>
      <w:r w:rsidRPr="00516132">
        <w:rPr>
          <w:rFonts w:ascii="Arial" w:hAnsi="Arial" w:cs="Arial"/>
        </w:rPr>
        <w:t>HARQ mode A/B for uplink transmission may be configured per UL HARQ process at least via UE specific RRC signalling for eMTC and NB-IOT NTN. We can also revert this decision if requested by RAN1</w:t>
      </w:r>
    </w:p>
    <w:p w14:paraId="4285EE22" w14:textId="77777777" w:rsidR="00516132" w:rsidRPr="00516132" w:rsidRDefault="00516132" w:rsidP="00516132">
      <w:pPr>
        <w:pStyle w:val="ListParagraph"/>
        <w:numPr>
          <w:ilvl w:val="0"/>
          <w:numId w:val="28"/>
        </w:numPr>
        <w:ind w:leftChars="0"/>
        <w:rPr>
          <w:rFonts w:ascii="Arial" w:hAnsi="Arial" w:cs="Arial"/>
        </w:rPr>
      </w:pPr>
      <w:r w:rsidRPr="00516132">
        <w:rPr>
          <w:rFonts w:ascii="Arial" w:hAnsi="Arial" w:cs="Arial"/>
        </w:rPr>
        <w:t>HARQ mode A/B for uplink transmission may be configured per UL HARQ process at least via UE specific RRC signalling for eMTC and NB-IOT NTN. We can also revert this decision if requested by RAN1</w:t>
      </w:r>
    </w:p>
    <w:p w14:paraId="61816309" w14:textId="77777777" w:rsidR="00516132" w:rsidRPr="00516132" w:rsidRDefault="00516132" w:rsidP="00516132">
      <w:pPr>
        <w:pStyle w:val="ListParagraph"/>
        <w:numPr>
          <w:ilvl w:val="0"/>
          <w:numId w:val="28"/>
        </w:numPr>
        <w:ind w:leftChars="0"/>
        <w:rPr>
          <w:rFonts w:ascii="Arial" w:hAnsi="Arial" w:cs="Arial"/>
        </w:rPr>
      </w:pPr>
      <w:r w:rsidRPr="00516132">
        <w:rPr>
          <w:rFonts w:ascii="Arial" w:hAnsi="Arial" w:cs="Arial"/>
        </w:rPr>
        <w:t>RAN2 agree to take R17 NR NTN DRX solution as baseline for IoT NTN, e.g. for HARQ process with DL HARQ feedback disabled, the UE will not start the corresponding DL HARQ RTT timer.</w:t>
      </w:r>
    </w:p>
    <w:p w14:paraId="3BC131E7" w14:textId="77777777" w:rsidR="00516132" w:rsidRPr="00516132" w:rsidRDefault="00516132" w:rsidP="00516132">
      <w:pPr>
        <w:pStyle w:val="ListParagraph"/>
        <w:numPr>
          <w:ilvl w:val="0"/>
          <w:numId w:val="28"/>
        </w:numPr>
        <w:ind w:leftChars="0"/>
        <w:rPr>
          <w:rFonts w:ascii="Arial" w:hAnsi="Arial" w:cs="Arial"/>
        </w:rPr>
      </w:pPr>
      <w:r w:rsidRPr="00516132">
        <w:rPr>
          <w:rFonts w:ascii="Arial" w:hAnsi="Arial" w:cs="Arial"/>
        </w:rPr>
        <w:t>For NB-IoT NTN with single HARQ process when the HARQ feedback is disabled, the UE will start/restart drx-inactivity timer in the subframe containing the last repetition of the corresponding PDSCH reception (can still check whether the alternative to set the HARQ RTT timer to 0 also works)</w:t>
      </w:r>
    </w:p>
    <w:p w14:paraId="7DA43864" w14:textId="77777777" w:rsidR="00516132" w:rsidRPr="00516132" w:rsidRDefault="00516132" w:rsidP="00516132">
      <w:pPr>
        <w:pStyle w:val="ListParagraph"/>
        <w:numPr>
          <w:ilvl w:val="0"/>
          <w:numId w:val="28"/>
        </w:numPr>
        <w:ind w:leftChars="0"/>
        <w:rPr>
          <w:rFonts w:ascii="Arial" w:hAnsi="Arial" w:cs="Arial"/>
        </w:rPr>
      </w:pPr>
      <w:r w:rsidRPr="00516132">
        <w:rPr>
          <w:rFonts w:ascii="Arial" w:hAnsi="Arial" w:cs="Arial"/>
        </w:rPr>
        <w:t>RAN2 agree to take R17 NR NTN DRX solution as baseline for IoT NTN, e.g. for HARQ process in HARQ mode B, the UE will not start the corresponding UL HARQ RTT timer.</w:t>
      </w:r>
    </w:p>
    <w:p w14:paraId="20144D7D" w14:textId="77777777" w:rsidR="00516132" w:rsidRPr="00516132" w:rsidRDefault="00516132" w:rsidP="00516132">
      <w:pPr>
        <w:pStyle w:val="ListParagraph"/>
        <w:numPr>
          <w:ilvl w:val="0"/>
          <w:numId w:val="28"/>
        </w:numPr>
        <w:ind w:leftChars="0"/>
        <w:rPr>
          <w:rFonts w:ascii="Arial" w:hAnsi="Arial" w:cs="Arial"/>
        </w:rPr>
      </w:pPr>
      <w:r w:rsidRPr="00516132">
        <w:rPr>
          <w:rFonts w:ascii="Arial" w:hAnsi="Arial" w:cs="Arial"/>
        </w:rPr>
        <w:t>For NB-IoT NTN with single HARQ process in HARQ mode B, the UE will start/restart drx-inactivity timer in the subframe containing the last repetition of the corresponding PUSCH transmission (can still check whether other alternatives also work)</w:t>
      </w:r>
    </w:p>
    <w:p w14:paraId="13BB8588" w14:textId="18907E4E" w:rsidR="00516132" w:rsidRPr="00516132" w:rsidRDefault="00516132" w:rsidP="00516132">
      <w:pPr>
        <w:pStyle w:val="ListParagraph"/>
        <w:numPr>
          <w:ilvl w:val="0"/>
          <w:numId w:val="28"/>
        </w:numPr>
        <w:ind w:leftChars="0"/>
        <w:rPr>
          <w:rFonts w:ascii="Arial" w:hAnsi="Arial" w:cs="Arial"/>
        </w:rPr>
      </w:pPr>
      <w:r w:rsidRPr="00516132">
        <w:rPr>
          <w:rFonts w:ascii="Arial" w:hAnsi="Arial" w:cs="Arial"/>
        </w:rPr>
        <w:t>The solutions of LCP restriction on allowed HARQ mode in NR NTN can be reused for eMTC NTN.</w:t>
      </w:r>
    </w:p>
    <w:p w14:paraId="7F75654A" w14:textId="77777777" w:rsidR="00D30AF6" w:rsidRPr="00516132" w:rsidRDefault="00D30AF6" w:rsidP="00D30AF6">
      <w:pPr>
        <w:rPr>
          <w:lang w:val="en-US" w:eastAsia="ja-JP"/>
        </w:rPr>
      </w:pPr>
    </w:p>
    <w:p w14:paraId="55BBB43A" w14:textId="77777777" w:rsidR="00D30AF6" w:rsidRDefault="00D30AF6" w:rsidP="00D30AF6">
      <w:pPr>
        <w:rPr>
          <w:lang w:eastAsia="ja-JP"/>
        </w:rPr>
      </w:pPr>
      <w:bookmarkStart w:id="3" w:name="_Hlk127439907"/>
      <w:r>
        <w:rPr>
          <w:rFonts w:ascii="Arial" w:hAnsi="Arial" w:cs="Arial"/>
          <w:b/>
          <w:u w:val="single"/>
          <w:lang w:eastAsia="ja-JP"/>
        </w:rPr>
        <w:t>Agreements on “8.6.3 Mobility Enhancements”</w:t>
      </w:r>
    </w:p>
    <w:p w14:paraId="1CFE0816" w14:textId="7A4A2E9B" w:rsidR="00D30AF6" w:rsidRDefault="00D30AF6" w:rsidP="00D30AF6">
      <w:pPr>
        <w:rPr>
          <w:lang w:eastAsia="ja-JP"/>
        </w:rPr>
      </w:pPr>
      <w:r>
        <w:rPr>
          <w:rFonts w:ascii="Arial" w:hAnsi="Arial" w:cs="Arial"/>
          <w:lang w:eastAsia="ja-JP"/>
        </w:rPr>
        <w:t>Agreements</w:t>
      </w:r>
      <w:r>
        <w:rPr>
          <w:lang w:eastAsia="ja-JP"/>
        </w:rPr>
        <w:t>:</w:t>
      </w:r>
    </w:p>
    <w:bookmarkEnd w:id="3"/>
    <w:p w14:paraId="0AEAD9F6" w14:textId="2AA4C154" w:rsidR="00516132" w:rsidRPr="00516132" w:rsidRDefault="00516132" w:rsidP="00516132">
      <w:pPr>
        <w:pStyle w:val="ListParagraph"/>
        <w:numPr>
          <w:ilvl w:val="0"/>
          <w:numId w:val="30"/>
        </w:numPr>
        <w:ind w:leftChars="0"/>
        <w:rPr>
          <w:rFonts w:ascii="Arial" w:hAnsi="Arial" w:cs="Arial"/>
        </w:rPr>
      </w:pPr>
      <w:r w:rsidRPr="00516132">
        <w:rPr>
          <w:rFonts w:ascii="Arial" w:hAnsi="Arial" w:cs="Arial"/>
        </w:rPr>
        <w:t>For eMTC over NTN, for both earth-moving and earth-fixed cell scenarios, we introduce location based CHO triggering events.</w:t>
      </w:r>
    </w:p>
    <w:p w14:paraId="268E4456" w14:textId="77777777" w:rsidR="00D30AF6" w:rsidRDefault="00D30AF6" w:rsidP="00F035C1">
      <w:pPr>
        <w:pStyle w:val="Heading2"/>
        <w:keepNext w:val="0"/>
        <w:rPr>
          <w:lang w:eastAsia="ja-JP"/>
        </w:rPr>
      </w:pPr>
    </w:p>
    <w:p w14:paraId="38644C8D" w14:textId="7D6BA639" w:rsidR="00F9174B" w:rsidRDefault="00827744" w:rsidP="00F035C1">
      <w:pPr>
        <w:pStyle w:val="Heading2"/>
        <w:keepNext w:val="0"/>
        <w:rPr>
          <w:lang w:eastAsia="ja-JP"/>
        </w:rPr>
      </w:pPr>
      <w:r>
        <w:rPr>
          <w:lang w:eastAsia="ja-JP"/>
        </w:rPr>
        <w:t>2.</w:t>
      </w:r>
      <w:r w:rsidR="00777F7E">
        <w:rPr>
          <w:lang w:eastAsia="ja-JP"/>
        </w:rPr>
        <w:t>3</w:t>
      </w:r>
      <w:r>
        <w:rPr>
          <w:lang w:eastAsia="ja-JP"/>
        </w:rPr>
        <w:tab/>
      </w:r>
      <w:r w:rsidR="003B538E">
        <w:rPr>
          <w:lang w:eastAsia="ja-JP"/>
        </w:rPr>
        <w:t>Agreements</w:t>
      </w:r>
      <w:r w:rsidR="00F035C1">
        <w:rPr>
          <w:lang w:eastAsia="ja-JP"/>
        </w:rPr>
        <w:t xml:space="preserve"> </w:t>
      </w:r>
      <w:r w:rsidR="00D30AF6">
        <w:rPr>
          <w:lang w:eastAsia="ja-JP"/>
        </w:rPr>
        <w:t xml:space="preserve">made in </w:t>
      </w:r>
      <w:r w:rsidR="00D30AF6" w:rsidRPr="00D30AF6">
        <w:rPr>
          <w:lang w:eastAsia="ja-JP"/>
        </w:rPr>
        <w:t>RAN2#119-e</w:t>
      </w:r>
    </w:p>
    <w:p w14:paraId="7628F9AE" w14:textId="5EECACE9" w:rsidR="00F9174B" w:rsidRDefault="00827744">
      <w:pPr>
        <w:rPr>
          <w:b/>
          <w:lang w:eastAsia="ja-JP"/>
        </w:rPr>
      </w:pPr>
      <w:r>
        <w:rPr>
          <w:rFonts w:ascii="Arial" w:hAnsi="Arial" w:cs="Arial"/>
          <w:b/>
          <w:u w:val="single"/>
          <w:lang w:eastAsia="ja-JP"/>
        </w:rPr>
        <w:lastRenderedPageBreak/>
        <w:t>Agreements on “8.6.2 Performance Enhancements”</w:t>
      </w:r>
    </w:p>
    <w:p w14:paraId="1CFF78E8" w14:textId="77777777" w:rsidR="00F9174B" w:rsidRDefault="00827744">
      <w:pPr>
        <w:rPr>
          <w:rFonts w:ascii="Arial" w:hAnsi="Arial" w:cs="Arial"/>
          <w:lang w:eastAsia="ja-JP"/>
        </w:rPr>
      </w:pPr>
      <w:r>
        <w:rPr>
          <w:rFonts w:ascii="Arial" w:hAnsi="Arial" w:cs="Arial"/>
          <w:lang w:eastAsia="ja-JP"/>
        </w:rPr>
        <w:t>Agreements:</w:t>
      </w:r>
    </w:p>
    <w:p w14:paraId="0FCE16F4" w14:textId="77777777" w:rsidR="00F9174B" w:rsidRDefault="00827744">
      <w:pPr>
        <w:pStyle w:val="ListParagraph"/>
        <w:numPr>
          <w:ilvl w:val="0"/>
          <w:numId w:val="14"/>
        </w:numPr>
        <w:ind w:leftChars="0"/>
        <w:rPr>
          <w:rFonts w:ascii="Arial" w:hAnsi="Arial" w:cs="Arial"/>
          <w:sz w:val="20"/>
          <w:szCs w:val="20"/>
        </w:rPr>
      </w:pPr>
      <w:r>
        <w:rPr>
          <w:rFonts w:ascii="Arial" w:hAnsi="Arial" w:cs="Arial"/>
          <w:sz w:val="20"/>
          <w:szCs w:val="20"/>
        </w:rPr>
        <w:t>Disabling DL HARQ feedback is supported for NB-IoT and eMTC NTN. FFS on UE capability</w:t>
      </w:r>
    </w:p>
    <w:p w14:paraId="70534ABB" w14:textId="77777777" w:rsidR="00F9174B" w:rsidRDefault="00827744">
      <w:pPr>
        <w:pStyle w:val="ListParagraph"/>
        <w:numPr>
          <w:ilvl w:val="0"/>
          <w:numId w:val="14"/>
        </w:numPr>
        <w:ind w:leftChars="0"/>
        <w:rPr>
          <w:rFonts w:ascii="Arial" w:hAnsi="Arial" w:cs="Arial"/>
          <w:sz w:val="20"/>
          <w:szCs w:val="20"/>
        </w:rPr>
      </w:pPr>
      <w:r>
        <w:rPr>
          <w:rFonts w:ascii="Arial" w:hAnsi="Arial" w:cs="Arial"/>
          <w:sz w:val="20"/>
          <w:szCs w:val="20"/>
        </w:rPr>
        <w:t xml:space="preserve">For UL HARQ operation, introduce </w:t>
      </w:r>
      <w:bookmarkStart w:id="4" w:name="_Hlk112917949"/>
      <w:r>
        <w:rPr>
          <w:rFonts w:ascii="Arial" w:hAnsi="Arial" w:cs="Arial"/>
          <w:sz w:val="20"/>
          <w:szCs w:val="20"/>
        </w:rPr>
        <w:t xml:space="preserve">two HARQ modes, i.e., HARQ mode A and HARQ mode B in IoT NTN </w:t>
      </w:r>
      <w:bookmarkEnd w:id="4"/>
      <w:r>
        <w:rPr>
          <w:rFonts w:ascii="Arial" w:hAnsi="Arial" w:cs="Arial"/>
          <w:sz w:val="20"/>
          <w:szCs w:val="20"/>
        </w:rPr>
        <w:t>(both NB-IoT and eMTC NTN), similarly to NR NTN</w:t>
      </w:r>
    </w:p>
    <w:p w14:paraId="4666DBB3" w14:textId="77777777" w:rsidR="00F9174B" w:rsidRDefault="00827744">
      <w:pPr>
        <w:pStyle w:val="ListParagraph"/>
        <w:numPr>
          <w:ilvl w:val="0"/>
          <w:numId w:val="14"/>
        </w:numPr>
        <w:ind w:leftChars="0"/>
        <w:rPr>
          <w:rFonts w:ascii="Arial" w:hAnsi="Arial" w:cs="Arial"/>
          <w:sz w:val="20"/>
          <w:szCs w:val="20"/>
        </w:rPr>
      </w:pPr>
      <w:r>
        <w:rPr>
          <w:rFonts w:ascii="Arial" w:hAnsi="Arial" w:cs="Arial"/>
          <w:sz w:val="20"/>
          <w:szCs w:val="20"/>
        </w:rPr>
        <w:t>From RAN2 perspective, at least for eMTC, enabling/disabling HARQ feedback can be configured per DL HARQ process at least via UE specific RRC signalling. FFS for NB-IoT (and especially for CP solution for NB-IOT).</w:t>
      </w:r>
    </w:p>
    <w:p w14:paraId="73072DED" w14:textId="77777777" w:rsidR="00F9174B" w:rsidRDefault="00F9174B">
      <w:pPr>
        <w:rPr>
          <w:lang w:eastAsia="ja-JP"/>
        </w:rPr>
      </w:pPr>
    </w:p>
    <w:p w14:paraId="7579DD5F" w14:textId="77777777" w:rsidR="00F9174B" w:rsidRDefault="00827744">
      <w:pPr>
        <w:rPr>
          <w:lang w:eastAsia="ja-JP"/>
        </w:rPr>
      </w:pPr>
      <w:r>
        <w:rPr>
          <w:rFonts w:ascii="Arial" w:hAnsi="Arial" w:cs="Arial"/>
          <w:b/>
          <w:u w:val="single"/>
          <w:lang w:eastAsia="ja-JP"/>
        </w:rPr>
        <w:t>Agreements on “8.6.3 Mobility Enhancements”</w:t>
      </w:r>
    </w:p>
    <w:p w14:paraId="5F2E8483" w14:textId="77777777" w:rsidR="00F9174B" w:rsidRDefault="00827744">
      <w:pPr>
        <w:rPr>
          <w:lang w:eastAsia="ja-JP"/>
        </w:rPr>
      </w:pPr>
      <w:r>
        <w:rPr>
          <w:rFonts w:ascii="Arial" w:hAnsi="Arial" w:cs="Arial"/>
          <w:lang w:eastAsia="ja-JP"/>
        </w:rPr>
        <w:t>Agreements</w:t>
      </w:r>
      <w:r>
        <w:rPr>
          <w:lang w:eastAsia="ja-JP"/>
        </w:rPr>
        <w:t>:</w:t>
      </w:r>
    </w:p>
    <w:p w14:paraId="169E914D" w14:textId="77777777" w:rsidR="00F9174B" w:rsidRDefault="00827744">
      <w:pPr>
        <w:pStyle w:val="ListParagraph"/>
        <w:numPr>
          <w:ilvl w:val="0"/>
          <w:numId w:val="15"/>
        </w:numPr>
        <w:ind w:leftChars="0"/>
        <w:rPr>
          <w:rFonts w:ascii="Arial" w:hAnsi="Arial" w:cs="Arial"/>
          <w:sz w:val="20"/>
          <w:szCs w:val="20"/>
        </w:rPr>
      </w:pPr>
      <w:r>
        <w:rPr>
          <w:rFonts w:ascii="Arial" w:hAnsi="Arial" w:cs="Arial"/>
          <w:sz w:val="20"/>
          <w:szCs w:val="20"/>
        </w:rPr>
        <w:t>IoT NTN can use the mechanism for neighbor cell measurements in connected mode (specified in Rel-17 for NB-IoT). FFS if any enhancements are needed (e.g., triggers) for both NB-IoT and eMTC.</w:t>
      </w:r>
    </w:p>
    <w:p w14:paraId="5C38E62D" w14:textId="77777777" w:rsidR="00F9174B" w:rsidRDefault="00827744">
      <w:pPr>
        <w:pStyle w:val="ListParagraph"/>
        <w:numPr>
          <w:ilvl w:val="0"/>
          <w:numId w:val="15"/>
        </w:numPr>
        <w:ind w:leftChars="0"/>
        <w:rPr>
          <w:rFonts w:ascii="Arial" w:hAnsi="Arial" w:cs="Arial"/>
          <w:sz w:val="20"/>
          <w:szCs w:val="20"/>
        </w:rPr>
      </w:pPr>
      <w:r>
        <w:rPr>
          <w:rFonts w:ascii="Arial" w:hAnsi="Arial" w:cs="Arial"/>
          <w:sz w:val="20"/>
          <w:szCs w:val="20"/>
        </w:rP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0DE336D3" w14:textId="77777777" w:rsidR="00F9174B" w:rsidRDefault="00827744">
      <w:pPr>
        <w:pStyle w:val="ListParagraph"/>
        <w:numPr>
          <w:ilvl w:val="0"/>
          <w:numId w:val="15"/>
        </w:numPr>
        <w:ind w:leftChars="0"/>
        <w:rPr>
          <w:rFonts w:ascii="Arial" w:hAnsi="Arial" w:cs="Arial"/>
          <w:sz w:val="20"/>
          <w:szCs w:val="20"/>
        </w:rPr>
      </w:pPr>
      <w:r>
        <w:rPr>
          <w:rFonts w:ascii="Arial" w:hAnsi="Arial" w:cs="Arial"/>
          <w:sz w:val="20"/>
          <w:szCs w:val="20"/>
        </w:rPr>
        <w:t>CHO enhancements for eMTC NTN (i.e., time/timer based solution) are introduced based on the R17 NR NTN solution. FFS on location-based solution</w:t>
      </w:r>
    </w:p>
    <w:p w14:paraId="60BAF466" w14:textId="77777777" w:rsidR="00F9174B" w:rsidRDefault="00827744">
      <w:pPr>
        <w:pStyle w:val="ListParagraph"/>
        <w:numPr>
          <w:ilvl w:val="0"/>
          <w:numId w:val="15"/>
        </w:numPr>
        <w:ind w:leftChars="0"/>
        <w:rPr>
          <w:rFonts w:ascii="Arial" w:hAnsi="Arial" w:cs="Arial"/>
          <w:sz w:val="20"/>
          <w:szCs w:val="20"/>
        </w:rPr>
      </w:pPr>
      <w:r>
        <w:rPr>
          <w:rFonts w:ascii="Arial" w:hAnsi="Arial" w:cs="Arial"/>
          <w:sz w:val="20"/>
          <w:szCs w:val="20"/>
        </w:rPr>
        <w:t>Measurement results reporting is not supported in Rel-18 NB-IoT NTN.</w:t>
      </w:r>
    </w:p>
    <w:p w14:paraId="7F3ECC49" w14:textId="77777777" w:rsidR="00F9174B" w:rsidRDefault="00F9174B">
      <w:pPr>
        <w:rPr>
          <w:rFonts w:ascii="Arial" w:hAnsi="Arial" w:cs="Arial"/>
        </w:rPr>
      </w:pPr>
    </w:p>
    <w:p w14:paraId="04D2366B" w14:textId="731AE969" w:rsidR="008A0759" w:rsidRDefault="008A0759" w:rsidP="008A0759">
      <w:pPr>
        <w:pStyle w:val="Heading1"/>
        <w:pBdr>
          <w:top w:val="single" w:sz="12" w:space="0" w:color="auto"/>
        </w:pBdr>
        <w:rPr>
          <w:lang w:val="en-US" w:eastAsia="ko-KR"/>
        </w:rPr>
      </w:pPr>
      <w:r>
        <w:rPr>
          <w:lang w:eastAsia="ko-KR"/>
        </w:rPr>
        <w:t>3</w:t>
      </w:r>
      <w:r>
        <w:rPr>
          <w:lang w:val="en-US" w:eastAsia="ko-KR"/>
        </w:rPr>
        <w:t xml:space="preserve"> References</w:t>
      </w:r>
    </w:p>
    <w:p w14:paraId="6D881F27" w14:textId="77777777" w:rsidR="00C746B6" w:rsidRDefault="00C746B6" w:rsidP="00C746B6">
      <w:pPr>
        <w:pStyle w:val="ListParagraph"/>
        <w:widowControl/>
        <w:numPr>
          <w:ilvl w:val="0"/>
          <w:numId w:val="31"/>
        </w:numPr>
        <w:spacing w:after="180" w:line="240" w:lineRule="auto"/>
        <w:ind w:leftChars="0"/>
        <w:jc w:val="left"/>
        <w:rPr>
          <w:rFonts w:ascii="Arial" w:hAnsi="Arial" w:cs="Arial"/>
          <w:sz w:val="20"/>
          <w:szCs w:val="20"/>
          <w:lang w:eastAsia="en-US"/>
        </w:rPr>
      </w:pPr>
      <w:bookmarkStart w:id="5" w:name="_Ref109647240"/>
      <w:r>
        <w:rPr>
          <w:rFonts w:ascii="Arial" w:hAnsi="Arial" w:cs="Arial"/>
          <w:sz w:val="20"/>
          <w:szCs w:val="20"/>
        </w:rPr>
        <w:t>RP-221554, MediaTek, WID on IoT NTN Enhancements, RAN#96e, June 2022.</w:t>
      </w:r>
      <w:bookmarkEnd w:id="5"/>
    </w:p>
    <w:p w14:paraId="19B8C160" w14:textId="77777777" w:rsidR="00C746B6" w:rsidRPr="00C746B6" w:rsidRDefault="00C746B6" w:rsidP="00E32677">
      <w:pPr>
        <w:pStyle w:val="ListParagraph"/>
        <w:widowControl/>
        <w:numPr>
          <w:ilvl w:val="0"/>
          <w:numId w:val="31"/>
        </w:numPr>
        <w:tabs>
          <w:tab w:val="left" w:pos="567"/>
        </w:tabs>
        <w:snapToGrid w:val="0"/>
        <w:spacing w:after="180" w:line="240" w:lineRule="auto"/>
        <w:ind w:leftChars="0"/>
        <w:jc w:val="left"/>
        <w:rPr>
          <w:rFonts w:ascii="Arial" w:hAnsi="Arial" w:cs="Arial"/>
          <w:bCs/>
        </w:rPr>
      </w:pPr>
      <w:r w:rsidRPr="00C746B6">
        <w:rPr>
          <w:rFonts w:ascii="Arial" w:hAnsi="Arial" w:cs="Arial"/>
          <w:sz w:val="20"/>
          <w:szCs w:val="20"/>
        </w:rPr>
        <w:t xml:space="preserve">R2-2208701, Vice Chairman (ZTE Corporation), Report from Break-out session on NR-NTN, IoT-NTN, REDCAP and CE, 3GPP TSG-RAN WG2 Meeting #119 electronic, August 2022. </w:t>
      </w:r>
    </w:p>
    <w:p w14:paraId="0E839A39" w14:textId="2F102719" w:rsidR="00F9174B" w:rsidRPr="00C746B6" w:rsidRDefault="00C746B6" w:rsidP="00E32677">
      <w:pPr>
        <w:pStyle w:val="ListParagraph"/>
        <w:widowControl/>
        <w:numPr>
          <w:ilvl w:val="0"/>
          <w:numId w:val="31"/>
        </w:numPr>
        <w:tabs>
          <w:tab w:val="left" w:pos="567"/>
        </w:tabs>
        <w:snapToGrid w:val="0"/>
        <w:spacing w:after="180" w:line="240" w:lineRule="auto"/>
        <w:ind w:leftChars="0"/>
        <w:jc w:val="left"/>
        <w:rPr>
          <w:rFonts w:ascii="Arial" w:hAnsi="Arial" w:cs="Arial"/>
          <w:bCs/>
        </w:rPr>
      </w:pPr>
      <w:r w:rsidRPr="00C746B6">
        <w:rPr>
          <w:rFonts w:ascii="Arial" w:hAnsi="Arial" w:cs="Arial"/>
        </w:rPr>
        <w:t>R2-2210801, Vice Chairman (ZTE Corporation), Report from Break-out session on NR-NTN and IoT-NTN, 3GPP TSG-RAN WG2 Meeting #119bis electronic, October 2022</w:t>
      </w:r>
    </w:p>
    <w:p w14:paraId="69C03341" w14:textId="77777777" w:rsidR="00F9174B" w:rsidRDefault="00F9174B">
      <w:pPr>
        <w:tabs>
          <w:tab w:val="left" w:pos="567"/>
        </w:tabs>
        <w:snapToGrid w:val="0"/>
        <w:rPr>
          <w:rFonts w:ascii="Arial" w:hAnsi="Arial" w:cs="Arial"/>
          <w:bCs/>
        </w:rPr>
      </w:pPr>
    </w:p>
    <w:sectPr w:rsidR="00F9174B">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1EAE0" w14:textId="77777777" w:rsidR="001B73FD" w:rsidRDefault="001B73FD">
      <w:pPr>
        <w:spacing w:after="0" w:line="240" w:lineRule="auto"/>
      </w:pPr>
      <w:r>
        <w:separator/>
      </w:r>
    </w:p>
  </w:endnote>
  <w:endnote w:type="continuationSeparator" w:id="0">
    <w:p w14:paraId="29D91CFF" w14:textId="77777777" w:rsidR="001B73FD" w:rsidRDefault="001B7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4EC71" w14:textId="77777777" w:rsidR="00F9174B" w:rsidRDefault="0082774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190F3" w14:textId="77777777" w:rsidR="001B73FD" w:rsidRDefault="001B73FD">
      <w:pPr>
        <w:spacing w:after="0" w:line="240" w:lineRule="auto"/>
      </w:pPr>
      <w:r>
        <w:separator/>
      </w:r>
    </w:p>
  </w:footnote>
  <w:footnote w:type="continuationSeparator" w:id="0">
    <w:p w14:paraId="65582C5D" w14:textId="77777777" w:rsidR="001B73FD" w:rsidRDefault="001B73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90724"/>
    <w:multiLevelType w:val="multilevel"/>
    <w:tmpl w:val="00F907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F21A7D"/>
    <w:multiLevelType w:val="multilevel"/>
    <w:tmpl w:val="06F21A7D"/>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3A26BE"/>
    <w:multiLevelType w:val="multilevel"/>
    <w:tmpl w:val="0D3A26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7FE20B0"/>
    <w:multiLevelType w:val="multilevel"/>
    <w:tmpl w:val="17FE20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C0A5931"/>
    <w:multiLevelType w:val="multilevel"/>
    <w:tmpl w:val="1C0A593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8923D0"/>
    <w:multiLevelType w:val="multilevel"/>
    <w:tmpl w:val="1E892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16ABC"/>
    <w:multiLevelType w:val="multilevel"/>
    <w:tmpl w:val="1F216A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0191D58"/>
    <w:multiLevelType w:val="hybridMultilevel"/>
    <w:tmpl w:val="45703A48"/>
    <w:lvl w:ilvl="0" w:tplc="F75AD0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1283C30"/>
    <w:multiLevelType w:val="hybridMultilevel"/>
    <w:tmpl w:val="91FCFE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775AD7"/>
    <w:multiLevelType w:val="hybridMultilevel"/>
    <w:tmpl w:val="4302F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2" w15:restartNumberingAfterBreak="0">
    <w:nsid w:val="29863321"/>
    <w:multiLevelType w:val="multilevel"/>
    <w:tmpl w:val="29863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EB5F19"/>
    <w:multiLevelType w:val="multilevel"/>
    <w:tmpl w:val="2DEB5F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2966373"/>
    <w:multiLevelType w:val="multilevel"/>
    <w:tmpl w:val="3296637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5B520B"/>
    <w:multiLevelType w:val="multilevel"/>
    <w:tmpl w:val="3B5B520B"/>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E315BD"/>
    <w:multiLevelType w:val="multilevel"/>
    <w:tmpl w:val="47E315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87A3E6E"/>
    <w:multiLevelType w:val="multilevel"/>
    <w:tmpl w:val="487A3E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C325623"/>
    <w:multiLevelType w:val="multilevel"/>
    <w:tmpl w:val="4C3256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4406E3"/>
    <w:multiLevelType w:val="hybridMultilevel"/>
    <w:tmpl w:val="D0361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BF682C"/>
    <w:multiLevelType w:val="multilevel"/>
    <w:tmpl w:val="54BF68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CD2384E"/>
    <w:multiLevelType w:val="hybridMultilevel"/>
    <w:tmpl w:val="C0A86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5A7E6D"/>
    <w:multiLevelType w:val="multilevel"/>
    <w:tmpl w:val="5D5A7E6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9" w15:restartNumberingAfterBreak="0">
    <w:nsid w:val="702D48C0"/>
    <w:multiLevelType w:val="multilevel"/>
    <w:tmpl w:val="702D48C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22211B"/>
    <w:multiLevelType w:val="multilevel"/>
    <w:tmpl w:val="732221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27"/>
  </w:num>
  <w:num w:numId="3">
    <w:abstractNumId w:val="31"/>
  </w:num>
  <w:num w:numId="4">
    <w:abstractNumId w:val="28"/>
  </w:num>
  <w:num w:numId="5">
    <w:abstractNumId w:val="21"/>
  </w:num>
  <w:num w:numId="6">
    <w:abstractNumId w:val="16"/>
  </w:num>
  <w:num w:numId="7">
    <w:abstractNumId w:val="11"/>
  </w:num>
  <w:num w:numId="8">
    <w:abstractNumId w:val="14"/>
  </w:num>
  <w:num w:numId="9">
    <w:abstractNumId w:val="12"/>
  </w:num>
  <w:num w:numId="10">
    <w:abstractNumId w:val="30"/>
  </w:num>
  <w:num w:numId="11">
    <w:abstractNumId w:val="6"/>
  </w:num>
  <w:num w:numId="12">
    <w:abstractNumId w:val="22"/>
  </w:num>
  <w:num w:numId="13">
    <w:abstractNumId w:val="17"/>
  </w:num>
  <w:num w:numId="14">
    <w:abstractNumId w:val="26"/>
  </w:num>
  <w:num w:numId="15">
    <w:abstractNumId w:val="5"/>
  </w:num>
  <w:num w:numId="16">
    <w:abstractNumId w:val="29"/>
  </w:num>
  <w:num w:numId="17">
    <w:abstractNumId w:val="2"/>
  </w:num>
  <w:num w:numId="18">
    <w:abstractNumId w:val="24"/>
  </w:num>
  <w:num w:numId="19">
    <w:abstractNumId w:val="4"/>
  </w:num>
  <w:num w:numId="20">
    <w:abstractNumId w:val="1"/>
  </w:num>
  <w:num w:numId="21">
    <w:abstractNumId w:val="3"/>
  </w:num>
  <w:num w:numId="22">
    <w:abstractNumId w:val="19"/>
  </w:num>
  <w:num w:numId="23">
    <w:abstractNumId w:val="20"/>
  </w:num>
  <w:num w:numId="24">
    <w:abstractNumId w:val="13"/>
  </w:num>
  <w:num w:numId="25">
    <w:abstractNumId w:val="7"/>
  </w:num>
  <w:num w:numId="26">
    <w:abstractNumId w:val="18"/>
  </w:num>
  <w:num w:numId="27">
    <w:abstractNumId w:val="0"/>
  </w:num>
  <w:num w:numId="28">
    <w:abstractNumId w:val="23"/>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ACD"/>
    <w:rsid w:val="00007BD0"/>
    <w:rsid w:val="00010165"/>
    <w:rsid w:val="00011C3B"/>
    <w:rsid w:val="000227D8"/>
    <w:rsid w:val="00025616"/>
    <w:rsid w:val="000276C5"/>
    <w:rsid w:val="00032276"/>
    <w:rsid w:val="0003752E"/>
    <w:rsid w:val="0004437C"/>
    <w:rsid w:val="0004456C"/>
    <w:rsid w:val="0005259B"/>
    <w:rsid w:val="00053E44"/>
    <w:rsid w:val="00053FEE"/>
    <w:rsid w:val="00054B31"/>
    <w:rsid w:val="00055429"/>
    <w:rsid w:val="00057A43"/>
    <w:rsid w:val="00060AE4"/>
    <w:rsid w:val="00063097"/>
    <w:rsid w:val="0006660A"/>
    <w:rsid w:val="00067313"/>
    <w:rsid w:val="000706D7"/>
    <w:rsid w:val="000746A7"/>
    <w:rsid w:val="00075875"/>
    <w:rsid w:val="00075FD2"/>
    <w:rsid w:val="000910BB"/>
    <w:rsid w:val="000926AF"/>
    <w:rsid w:val="00097A69"/>
    <w:rsid w:val="000A3ED2"/>
    <w:rsid w:val="000A417A"/>
    <w:rsid w:val="000A611E"/>
    <w:rsid w:val="000B18B9"/>
    <w:rsid w:val="000B7E96"/>
    <w:rsid w:val="000C00FA"/>
    <w:rsid w:val="000C51AA"/>
    <w:rsid w:val="000D04BD"/>
    <w:rsid w:val="000D17BC"/>
    <w:rsid w:val="000D2186"/>
    <w:rsid w:val="000D779C"/>
    <w:rsid w:val="000E1540"/>
    <w:rsid w:val="000E44B3"/>
    <w:rsid w:val="000E4F35"/>
    <w:rsid w:val="000E79FE"/>
    <w:rsid w:val="000F0CF1"/>
    <w:rsid w:val="000F6C1C"/>
    <w:rsid w:val="001008D8"/>
    <w:rsid w:val="00101346"/>
    <w:rsid w:val="001035BC"/>
    <w:rsid w:val="0011319C"/>
    <w:rsid w:val="00114611"/>
    <w:rsid w:val="00116A44"/>
    <w:rsid w:val="00116F4B"/>
    <w:rsid w:val="001229F4"/>
    <w:rsid w:val="00127970"/>
    <w:rsid w:val="00130488"/>
    <w:rsid w:val="00130D7E"/>
    <w:rsid w:val="001365AC"/>
    <w:rsid w:val="00137471"/>
    <w:rsid w:val="00137AE9"/>
    <w:rsid w:val="00142BC3"/>
    <w:rsid w:val="001437B5"/>
    <w:rsid w:val="00150FD3"/>
    <w:rsid w:val="001544F9"/>
    <w:rsid w:val="00155C9C"/>
    <w:rsid w:val="00160464"/>
    <w:rsid w:val="001648EF"/>
    <w:rsid w:val="001656ED"/>
    <w:rsid w:val="00165B5E"/>
    <w:rsid w:val="00166E4F"/>
    <w:rsid w:val="00170E00"/>
    <w:rsid w:val="00177AB2"/>
    <w:rsid w:val="00183993"/>
    <w:rsid w:val="00184428"/>
    <w:rsid w:val="001917C3"/>
    <w:rsid w:val="0019256E"/>
    <w:rsid w:val="00193717"/>
    <w:rsid w:val="00193DB7"/>
    <w:rsid w:val="00194738"/>
    <w:rsid w:val="00195D4B"/>
    <w:rsid w:val="001A1865"/>
    <w:rsid w:val="001A248F"/>
    <w:rsid w:val="001A3B5F"/>
    <w:rsid w:val="001A5805"/>
    <w:rsid w:val="001A659D"/>
    <w:rsid w:val="001A67E2"/>
    <w:rsid w:val="001B05A4"/>
    <w:rsid w:val="001B0F72"/>
    <w:rsid w:val="001B51AB"/>
    <w:rsid w:val="001B5CA8"/>
    <w:rsid w:val="001B73FD"/>
    <w:rsid w:val="001C1C16"/>
    <w:rsid w:val="001C1D9A"/>
    <w:rsid w:val="001C2546"/>
    <w:rsid w:val="001C4490"/>
    <w:rsid w:val="001C4EC1"/>
    <w:rsid w:val="001D0E5A"/>
    <w:rsid w:val="001D2C1A"/>
    <w:rsid w:val="001D3BA2"/>
    <w:rsid w:val="001D44B7"/>
    <w:rsid w:val="001D4EE7"/>
    <w:rsid w:val="001D589D"/>
    <w:rsid w:val="001E0075"/>
    <w:rsid w:val="001E0EBC"/>
    <w:rsid w:val="001E4E22"/>
    <w:rsid w:val="001E500A"/>
    <w:rsid w:val="001F139D"/>
    <w:rsid w:val="001F1B1F"/>
    <w:rsid w:val="001F2A20"/>
    <w:rsid w:val="001F3583"/>
    <w:rsid w:val="001F486F"/>
    <w:rsid w:val="001F5D44"/>
    <w:rsid w:val="0020314C"/>
    <w:rsid w:val="00205593"/>
    <w:rsid w:val="0020783F"/>
    <w:rsid w:val="00207DC4"/>
    <w:rsid w:val="00210091"/>
    <w:rsid w:val="00211E74"/>
    <w:rsid w:val="002126EC"/>
    <w:rsid w:val="002138A0"/>
    <w:rsid w:val="00216B0E"/>
    <w:rsid w:val="00223EB5"/>
    <w:rsid w:val="0022485E"/>
    <w:rsid w:val="00225EF6"/>
    <w:rsid w:val="002270CF"/>
    <w:rsid w:val="00230D1B"/>
    <w:rsid w:val="00231DD8"/>
    <w:rsid w:val="00235DB7"/>
    <w:rsid w:val="002406AA"/>
    <w:rsid w:val="002410B1"/>
    <w:rsid w:val="0024125E"/>
    <w:rsid w:val="00243009"/>
    <w:rsid w:val="00243A99"/>
    <w:rsid w:val="00254B3E"/>
    <w:rsid w:val="00254DF1"/>
    <w:rsid w:val="0026685C"/>
    <w:rsid w:val="00292B11"/>
    <w:rsid w:val="0029567C"/>
    <w:rsid w:val="00295F13"/>
    <w:rsid w:val="002A4229"/>
    <w:rsid w:val="002C0B82"/>
    <w:rsid w:val="002C2508"/>
    <w:rsid w:val="002D4DAB"/>
    <w:rsid w:val="002D6692"/>
    <w:rsid w:val="002E4E15"/>
    <w:rsid w:val="002F166C"/>
    <w:rsid w:val="002F1ED8"/>
    <w:rsid w:val="002F2C27"/>
    <w:rsid w:val="002F310F"/>
    <w:rsid w:val="002F484F"/>
    <w:rsid w:val="00301761"/>
    <w:rsid w:val="00301B7A"/>
    <w:rsid w:val="003030FD"/>
    <w:rsid w:val="00305069"/>
    <w:rsid w:val="00306D59"/>
    <w:rsid w:val="00311D5A"/>
    <w:rsid w:val="00314648"/>
    <w:rsid w:val="00323E9F"/>
    <w:rsid w:val="0032503A"/>
    <w:rsid w:val="00325EE1"/>
    <w:rsid w:val="00331363"/>
    <w:rsid w:val="003348A0"/>
    <w:rsid w:val="003357C0"/>
    <w:rsid w:val="00344D60"/>
    <w:rsid w:val="00346477"/>
    <w:rsid w:val="00347CB0"/>
    <w:rsid w:val="0035200D"/>
    <w:rsid w:val="00356DE9"/>
    <w:rsid w:val="0036248C"/>
    <w:rsid w:val="00363942"/>
    <w:rsid w:val="00365D1A"/>
    <w:rsid w:val="003666A8"/>
    <w:rsid w:val="00367401"/>
    <w:rsid w:val="00373093"/>
    <w:rsid w:val="00375678"/>
    <w:rsid w:val="00375E31"/>
    <w:rsid w:val="00380184"/>
    <w:rsid w:val="003803B5"/>
    <w:rsid w:val="003804B5"/>
    <w:rsid w:val="00380E11"/>
    <w:rsid w:val="00383370"/>
    <w:rsid w:val="00386E7C"/>
    <w:rsid w:val="00390882"/>
    <w:rsid w:val="0039139F"/>
    <w:rsid w:val="003923A5"/>
    <w:rsid w:val="0039390A"/>
    <w:rsid w:val="00394AB0"/>
    <w:rsid w:val="00396252"/>
    <w:rsid w:val="00397AE8"/>
    <w:rsid w:val="003A4B47"/>
    <w:rsid w:val="003A5D38"/>
    <w:rsid w:val="003B24AF"/>
    <w:rsid w:val="003B538E"/>
    <w:rsid w:val="003B7182"/>
    <w:rsid w:val="003C462B"/>
    <w:rsid w:val="003D2F70"/>
    <w:rsid w:val="003D5036"/>
    <w:rsid w:val="003D764D"/>
    <w:rsid w:val="003E3A1A"/>
    <w:rsid w:val="003E655B"/>
    <w:rsid w:val="003E6E49"/>
    <w:rsid w:val="003F00BF"/>
    <w:rsid w:val="003F1B9F"/>
    <w:rsid w:val="003F38F7"/>
    <w:rsid w:val="003F6D69"/>
    <w:rsid w:val="004002D4"/>
    <w:rsid w:val="0040091C"/>
    <w:rsid w:val="00403C50"/>
    <w:rsid w:val="00406D7A"/>
    <w:rsid w:val="00410E69"/>
    <w:rsid w:val="00413406"/>
    <w:rsid w:val="004224FC"/>
    <w:rsid w:val="004258BA"/>
    <w:rsid w:val="004464B9"/>
    <w:rsid w:val="00447998"/>
    <w:rsid w:val="0045042E"/>
    <w:rsid w:val="00450DD0"/>
    <w:rsid w:val="00450F8F"/>
    <w:rsid w:val="00451AA2"/>
    <w:rsid w:val="00451DA1"/>
    <w:rsid w:val="004531C9"/>
    <w:rsid w:val="00453DA7"/>
    <w:rsid w:val="004553C6"/>
    <w:rsid w:val="00455C1E"/>
    <w:rsid w:val="004561BA"/>
    <w:rsid w:val="00457D91"/>
    <w:rsid w:val="00460C31"/>
    <w:rsid w:val="0046199F"/>
    <w:rsid w:val="00464248"/>
    <w:rsid w:val="00464E5B"/>
    <w:rsid w:val="00466D6D"/>
    <w:rsid w:val="0047055A"/>
    <w:rsid w:val="00474450"/>
    <w:rsid w:val="004754A9"/>
    <w:rsid w:val="004805D6"/>
    <w:rsid w:val="004806EA"/>
    <w:rsid w:val="00485B12"/>
    <w:rsid w:val="00486A1B"/>
    <w:rsid w:val="004873E6"/>
    <w:rsid w:val="00487B4E"/>
    <w:rsid w:val="004915DF"/>
    <w:rsid w:val="00497F9A"/>
    <w:rsid w:val="004A057F"/>
    <w:rsid w:val="004A140B"/>
    <w:rsid w:val="004A2111"/>
    <w:rsid w:val="004A465C"/>
    <w:rsid w:val="004B15B8"/>
    <w:rsid w:val="004B4922"/>
    <w:rsid w:val="004B566C"/>
    <w:rsid w:val="004B7B48"/>
    <w:rsid w:val="004C1F8D"/>
    <w:rsid w:val="004C2931"/>
    <w:rsid w:val="004C3D4E"/>
    <w:rsid w:val="004C7960"/>
    <w:rsid w:val="004D1F2A"/>
    <w:rsid w:val="004D4057"/>
    <w:rsid w:val="004D4AB1"/>
    <w:rsid w:val="004E0823"/>
    <w:rsid w:val="004E152E"/>
    <w:rsid w:val="004E6072"/>
    <w:rsid w:val="004E67A9"/>
    <w:rsid w:val="004F218A"/>
    <w:rsid w:val="004F3D40"/>
    <w:rsid w:val="004F4FEA"/>
    <w:rsid w:val="004F533E"/>
    <w:rsid w:val="004F6814"/>
    <w:rsid w:val="004F74E7"/>
    <w:rsid w:val="00502041"/>
    <w:rsid w:val="0050334E"/>
    <w:rsid w:val="0050413A"/>
    <w:rsid w:val="00505387"/>
    <w:rsid w:val="0050576E"/>
    <w:rsid w:val="005076AA"/>
    <w:rsid w:val="00512DF7"/>
    <w:rsid w:val="005141E7"/>
    <w:rsid w:val="00516132"/>
    <w:rsid w:val="00517E63"/>
    <w:rsid w:val="00525331"/>
    <w:rsid w:val="00526B0D"/>
    <w:rsid w:val="00532F76"/>
    <w:rsid w:val="005414F4"/>
    <w:rsid w:val="00543029"/>
    <w:rsid w:val="00543067"/>
    <w:rsid w:val="005446DE"/>
    <w:rsid w:val="00545284"/>
    <w:rsid w:val="00547443"/>
    <w:rsid w:val="0055346F"/>
    <w:rsid w:val="005578F6"/>
    <w:rsid w:val="005579FF"/>
    <w:rsid w:val="00565962"/>
    <w:rsid w:val="00567C3C"/>
    <w:rsid w:val="00573161"/>
    <w:rsid w:val="005776DD"/>
    <w:rsid w:val="00577DBF"/>
    <w:rsid w:val="00582117"/>
    <w:rsid w:val="0058478F"/>
    <w:rsid w:val="005904F9"/>
    <w:rsid w:val="00590606"/>
    <w:rsid w:val="00591694"/>
    <w:rsid w:val="00591FC0"/>
    <w:rsid w:val="00593315"/>
    <w:rsid w:val="005938C8"/>
    <w:rsid w:val="005969AD"/>
    <w:rsid w:val="005973EE"/>
    <w:rsid w:val="005A170D"/>
    <w:rsid w:val="005A2596"/>
    <w:rsid w:val="005A6C96"/>
    <w:rsid w:val="005B534B"/>
    <w:rsid w:val="005B7697"/>
    <w:rsid w:val="005C1F20"/>
    <w:rsid w:val="005C73F1"/>
    <w:rsid w:val="005D0418"/>
    <w:rsid w:val="005D1657"/>
    <w:rsid w:val="005D4501"/>
    <w:rsid w:val="005D5789"/>
    <w:rsid w:val="005E1D58"/>
    <w:rsid w:val="005E43A7"/>
    <w:rsid w:val="005F5B38"/>
    <w:rsid w:val="00602B18"/>
    <w:rsid w:val="00610E37"/>
    <w:rsid w:val="00614068"/>
    <w:rsid w:val="00620098"/>
    <w:rsid w:val="006207ED"/>
    <w:rsid w:val="006225F8"/>
    <w:rsid w:val="0062274E"/>
    <w:rsid w:val="00623BA8"/>
    <w:rsid w:val="006250FA"/>
    <w:rsid w:val="00626BC9"/>
    <w:rsid w:val="006270B4"/>
    <w:rsid w:val="0063469B"/>
    <w:rsid w:val="006458DF"/>
    <w:rsid w:val="0064670A"/>
    <w:rsid w:val="00650D52"/>
    <w:rsid w:val="006615B2"/>
    <w:rsid w:val="006616EA"/>
    <w:rsid w:val="00662313"/>
    <w:rsid w:val="00665D45"/>
    <w:rsid w:val="00667267"/>
    <w:rsid w:val="00670AD9"/>
    <w:rsid w:val="00673911"/>
    <w:rsid w:val="00676F0C"/>
    <w:rsid w:val="0068503D"/>
    <w:rsid w:val="00686B3A"/>
    <w:rsid w:val="006870C9"/>
    <w:rsid w:val="0069416E"/>
    <w:rsid w:val="00696076"/>
    <w:rsid w:val="006A147E"/>
    <w:rsid w:val="006A3ADF"/>
    <w:rsid w:val="006A429C"/>
    <w:rsid w:val="006A62A3"/>
    <w:rsid w:val="006A7BCB"/>
    <w:rsid w:val="006B1F26"/>
    <w:rsid w:val="006B4C1E"/>
    <w:rsid w:val="006B66DB"/>
    <w:rsid w:val="006C090F"/>
    <w:rsid w:val="006C4E32"/>
    <w:rsid w:val="006C56D8"/>
    <w:rsid w:val="006C7F19"/>
    <w:rsid w:val="006D07AE"/>
    <w:rsid w:val="006D0F3E"/>
    <w:rsid w:val="006D1C93"/>
    <w:rsid w:val="006D7CA6"/>
    <w:rsid w:val="006E19A6"/>
    <w:rsid w:val="006E284C"/>
    <w:rsid w:val="006E3A8A"/>
    <w:rsid w:val="006E3F11"/>
    <w:rsid w:val="006E6D9E"/>
    <w:rsid w:val="006F051E"/>
    <w:rsid w:val="006F2F62"/>
    <w:rsid w:val="006F5546"/>
    <w:rsid w:val="006F59D9"/>
    <w:rsid w:val="00701410"/>
    <w:rsid w:val="0070625B"/>
    <w:rsid w:val="007113A1"/>
    <w:rsid w:val="00713C0A"/>
    <w:rsid w:val="00721CF6"/>
    <w:rsid w:val="00723E46"/>
    <w:rsid w:val="0072705A"/>
    <w:rsid w:val="00727C4F"/>
    <w:rsid w:val="00727C55"/>
    <w:rsid w:val="00730A40"/>
    <w:rsid w:val="00733826"/>
    <w:rsid w:val="0074084C"/>
    <w:rsid w:val="00740C5B"/>
    <w:rsid w:val="00741710"/>
    <w:rsid w:val="00742BBD"/>
    <w:rsid w:val="00761E02"/>
    <w:rsid w:val="0076207A"/>
    <w:rsid w:val="00763E7E"/>
    <w:rsid w:val="00766CFB"/>
    <w:rsid w:val="0077331E"/>
    <w:rsid w:val="007768DD"/>
    <w:rsid w:val="00777F7E"/>
    <w:rsid w:val="007816FF"/>
    <w:rsid w:val="00783B44"/>
    <w:rsid w:val="00783EE5"/>
    <w:rsid w:val="00785028"/>
    <w:rsid w:val="00791E7A"/>
    <w:rsid w:val="0079541B"/>
    <w:rsid w:val="007958DD"/>
    <w:rsid w:val="00795F3C"/>
    <w:rsid w:val="007A29A6"/>
    <w:rsid w:val="007A2E19"/>
    <w:rsid w:val="007A3A5A"/>
    <w:rsid w:val="007A4370"/>
    <w:rsid w:val="007A5A1D"/>
    <w:rsid w:val="007C6776"/>
    <w:rsid w:val="007D575D"/>
    <w:rsid w:val="007D59FA"/>
    <w:rsid w:val="007E1D15"/>
    <w:rsid w:val="007E1DEA"/>
    <w:rsid w:val="007E2202"/>
    <w:rsid w:val="007E2EBA"/>
    <w:rsid w:val="007F1B74"/>
    <w:rsid w:val="007F2115"/>
    <w:rsid w:val="008027AA"/>
    <w:rsid w:val="008033EA"/>
    <w:rsid w:val="00806713"/>
    <w:rsid w:val="0081059C"/>
    <w:rsid w:val="00812C01"/>
    <w:rsid w:val="008145EA"/>
    <w:rsid w:val="00815869"/>
    <w:rsid w:val="0081592E"/>
    <w:rsid w:val="00815B48"/>
    <w:rsid w:val="00815EA7"/>
    <w:rsid w:val="00816B81"/>
    <w:rsid w:val="00823B90"/>
    <w:rsid w:val="00827744"/>
    <w:rsid w:val="0083266E"/>
    <w:rsid w:val="00837076"/>
    <w:rsid w:val="00842F9D"/>
    <w:rsid w:val="00847D52"/>
    <w:rsid w:val="00851ED4"/>
    <w:rsid w:val="008546E5"/>
    <w:rsid w:val="008569C7"/>
    <w:rsid w:val="0086374E"/>
    <w:rsid w:val="00865711"/>
    <w:rsid w:val="00865EA8"/>
    <w:rsid w:val="00871653"/>
    <w:rsid w:val="008768FB"/>
    <w:rsid w:val="00880684"/>
    <w:rsid w:val="00881D74"/>
    <w:rsid w:val="00881E7B"/>
    <w:rsid w:val="00882025"/>
    <w:rsid w:val="008836AC"/>
    <w:rsid w:val="008839A8"/>
    <w:rsid w:val="00884FA0"/>
    <w:rsid w:val="00887422"/>
    <w:rsid w:val="0089166C"/>
    <w:rsid w:val="00893204"/>
    <w:rsid w:val="008960DE"/>
    <w:rsid w:val="008A0759"/>
    <w:rsid w:val="008A36DF"/>
    <w:rsid w:val="008B131F"/>
    <w:rsid w:val="008B2D27"/>
    <w:rsid w:val="008B6B60"/>
    <w:rsid w:val="008B6FD2"/>
    <w:rsid w:val="008C1698"/>
    <w:rsid w:val="008C1A3D"/>
    <w:rsid w:val="008C4660"/>
    <w:rsid w:val="008C5DB6"/>
    <w:rsid w:val="008C69F8"/>
    <w:rsid w:val="008D01C3"/>
    <w:rsid w:val="008D1E13"/>
    <w:rsid w:val="008D6549"/>
    <w:rsid w:val="008D6A3A"/>
    <w:rsid w:val="008D70D2"/>
    <w:rsid w:val="008E5852"/>
    <w:rsid w:val="008F0DD2"/>
    <w:rsid w:val="008F2E7E"/>
    <w:rsid w:val="008F4828"/>
    <w:rsid w:val="00900AE8"/>
    <w:rsid w:val="00900DAD"/>
    <w:rsid w:val="00905977"/>
    <w:rsid w:val="0091008B"/>
    <w:rsid w:val="00911676"/>
    <w:rsid w:val="009129C9"/>
    <w:rsid w:val="0091390B"/>
    <w:rsid w:val="0091408E"/>
    <w:rsid w:val="009162F9"/>
    <w:rsid w:val="00917957"/>
    <w:rsid w:val="009228AF"/>
    <w:rsid w:val="00925C77"/>
    <w:rsid w:val="00926CD7"/>
    <w:rsid w:val="00932249"/>
    <w:rsid w:val="0093421D"/>
    <w:rsid w:val="009378CA"/>
    <w:rsid w:val="00944ABD"/>
    <w:rsid w:val="00945422"/>
    <w:rsid w:val="00945F44"/>
    <w:rsid w:val="0095025E"/>
    <w:rsid w:val="00950E06"/>
    <w:rsid w:val="009527BA"/>
    <w:rsid w:val="00954AA4"/>
    <w:rsid w:val="00955C4C"/>
    <w:rsid w:val="00961C29"/>
    <w:rsid w:val="0096293C"/>
    <w:rsid w:val="00962C1F"/>
    <w:rsid w:val="00963B76"/>
    <w:rsid w:val="00965384"/>
    <w:rsid w:val="00967C91"/>
    <w:rsid w:val="00975B10"/>
    <w:rsid w:val="00976F8A"/>
    <w:rsid w:val="00985195"/>
    <w:rsid w:val="009863B9"/>
    <w:rsid w:val="0098733C"/>
    <w:rsid w:val="00991830"/>
    <w:rsid w:val="009948A1"/>
    <w:rsid w:val="00995338"/>
    <w:rsid w:val="00996777"/>
    <w:rsid w:val="00997E19"/>
    <w:rsid w:val="009A17C8"/>
    <w:rsid w:val="009A23FC"/>
    <w:rsid w:val="009A6C7B"/>
    <w:rsid w:val="009C0BC7"/>
    <w:rsid w:val="009C151A"/>
    <w:rsid w:val="009C6592"/>
    <w:rsid w:val="009C7915"/>
    <w:rsid w:val="009D6626"/>
    <w:rsid w:val="009D69A8"/>
    <w:rsid w:val="009E209B"/>
    <w:rsid w:val="009E2963"/>
    <w:rsid w:val="009E3B92"/>
    <w:rsid w:val="009E4261"/>
    <w:rsid w:val="009F0747"/>
    <w:rsid w:val="009F44E4"/>
    <w:rsid w:val="009F50E1"/>
    <w:rsid w:val="00A013E8"/>
    <w:rsid w:val="00A03514"/>
    <w:rsid w:val="00A07AB1"/>
    <w:rsid w:val="00A13F87"/>
    <w:rsid w:val="00A1647A"/>
    <w:rsid w:val="00A17079"/>
    <w:rsid w:val="00A21365"/>
    <w:rsid w:val="00A238C5"/>
    <w:rsid w:val="00A25CE3"/>
    <w:rsid w:val="00A30038"/>
    <w:rsid w:val="00A3077C"/>
    <w:rsid w:val="00A448C3"/>
    <w:rsid w:val="00A44B62"/>
    <w:rsid w:val="00A458D4"/>
    <w:rsid w:val="00A46F14"/>
    <w:rsid w:val="00A46FB7"/>
    <w:rsid w:val="00A470A0"/>
    <w:rsid w:val="00A50560"/>
    <w:rsid w:val="00A53118"/>
    <w:rsid w:val="00A5445A"/>
    <w:rsid w:val="00A54765"/>
    <w:rsid w:val="00A54F02"/>
    <w:rsid w:val="00A60388"/>
    <w:rsid w:val="00A61B5D"/>
    <w:rsid w:val="00A657F7"/>
    <w:rsid w:val="00A66DA6"/>
    <w:rsid w:val="00A677FF"/>
    <w:rsid w:val="00A7042A"/>
    <w:rsid w:val="00A76157"/>
    <w:rsid w:val="00A84693"/>
    <w:rsid w:val="00A84CFD"/>
    <w:rsid w:val="00A86AB5"/>
    <w:rsid w:val="00A90426"/>
    <w:rsid w:val="00A97226"/>
    <w:rsid w:val="00AA0E64"/>
    <w:rsid w:val="00AA142F"/>
    <w:rsid w:val="00AA3E2D"/>
    <w:rsid w:val="00AA53DB"/>
    <w:rsid w:val="00AA5BB6"/>
    <w:rsid w:val="00AA7103"/>
    <w:rsid w:val="00AA741F"/>
    <w:rsid w:val="00AB239A"/>
    <w:rsid w:val="00AB354E"/>
    <w:rsid w:val="00AB47BB"/>
    <w:rsid w:val="00AB56CF"/>
    <w:rsid w:val="00AB5838"/>
    <w:rsid w:val="00AB735C"/>
    <w:rsid w:val="00AC39FB"/>
    <w:rsid w:val="00AC4BF5"/>
    <w:rsid w:val="00AD108C"/>
    <w:rsid w:val="00AD3122"/>
    <w:rsid w:val="00AD33C1"/>
    <w:rsid w:val="00AD53C7"/>
    <w:rsid w:val="00AD5A56"/>
    <w:rsid w:val="00AD7059"/>
    <w:rsid w:val="00AD7ADC"/>
    <w:rsid w:val="00AE08EB"/>
    <w:rsid w:val="00AE427E"/>
    <w:rsid w:val="00AE4D26"/>
    <w:rsid w:val="00AF09B5"/>
    <w:rsid w:val="00AF3414"/>
    <w:rsid w:val="00AF38CE"/>
    <w:rsid w:val="00AF567C"/>
    <w:rsid w:val="00AF56FB"/>
    <w:rsid w:val="00AF5DB9"/>
    <w:rsid w:val="00B00BBE"/>
    <w:rsid w:val="00B0259B"/>
    <w:rsid w:val="00B10710"/>
    <w:rsid w:val="00B110CF"/>
    <w:rsid w:val="00B1153F"/>
    <w:rsid w:val="00B12E3F"/>
    <w:rsid w:val="00B15F63"/>
    <w:rsid w:val="00B208FA"/>
    <w:rsid w:val="00B217A6"/>
    <w:rsid w:val="00B25C12"/>
    <w:rsid w:val="00B26417"/>
    <w:rsid w:val="00B26BBB"/>
    <w:rsid w:val="00B2766F"/>
    <w:rsid w:val="00B27B13"/>
    <w:rsid w:val="00B31ABC"/>
    <w:rsid w:val="00B35E4D"/>
    <w:rsid w:val="00B416B2"/>
    <w:rsid w:val="00B445ED"/>
    <w:rsid w:val="00B5389D"/>
    <w:rsid w:val="00B5534D"/>
    <w:rsid w:val="00B601D3"/>
    <w:rsid w:val="00B6179B"/>
    <w:rsid w:val="00B6300F"/>
    <w:rsid w:val="00B70389"/>
    <w:rsid w:val="00B733F4"/>
    <w:rsid w:val="00B74B4C"/>
    <w:rsid w:val="00B7670E"/>
    <w:rsid w:val="00B775C4"/>
    <w:rsid w:val="00B77E73"/>
    <w:rsid w:val="00B82AF0"/>
    <w:rsid w:val="00B84623"/>
    <w:rsid w:val="00B854F7"/>
    <w:rsid w:val="00B95722"/>
    <w:rsid w:val="00BA51EF"/>
    <w:rsid w:val="00BB444B"/>
    <w:rsid w:val="00BB66D5"/>
    <w:rsid w:val="00BC3E73"/>
    <w:rsid w:val="00BC4C71"/>
    <w:rsid w:val="00BC7E6E"/>
    <w:rsid w:val="00BD75B2"/>
    <w:rsid w:val="00BE1D1F"/>
    <w:rsid w:val="00BE1E99"/>
    <w:rsid w:val="00BE220D"/>
    <w:rsid w:val="00BE3060"/>
    <w:rsid w:val="00BE3D1F"/>
    <w:rsid w:val="00BE3E0A"/>
    <w:rsid w:val="00BE3E6A"/>
    <w:rsid w:val="00BE5E66"/>
    <w:rsid w:val="00BE5EA4"/>
    <w:rsid w:val="00BE6BBA"/>
    <w:rsid w:val="00BF0C49"/>
    <w:rsid w:val="00BF2443"/>
    <w:rsid w:val="00BF343A"/>
    <w:rsid w:val="00BF5F32"/>
    <w:rsid w:val="00C00281"/>
    <w:rsid w:val="00C010E0"/>
    <w:rsid w:val="00C05625"/>
    <w:rsid w:val="00C17105"/>
    <w:rsid w:val="00C1751E"/>
    <w:rsid w:val="00C17C6C"/>
    <w:rsid w:val="00C21339"/>
    <w:rsid w:val="00C266F9"/>
    <w:rsid w:val="00C27936"/>
    <w:rsid w:val="00C305C5"/>
    <w:rsid w:val="00C31EC3"/>
    <w:rsid w:val="00C32A99"/>
    <w:rsid w:val="00C343C2"/>
    <w:rsid w:val="00C371EA"/>
    <w:rsid w:val="00C42F9E"/>
    <w:rsid w:val="00C43704"/>
    <w:rsid w:val="00C445AD"/>
    <w:rsid w:val="00C44A1B"/>
    <w:rsid w:val="00C44CBA"/>
    <w:rsid w:val="00C458F0"/>
    <w:rsid w:val="00C4666A"/>
    <w:rsid w:val="00C479A3"/>
    <w:rsid w:val="00C50477"/>
    <w:rsid w:val="00C530C3"/>
    <w:rsid w:val="00C56D35"/>
    <w:rsid w:val="00C67BAD"/>
    <w:rsid w:val="00C746B6"/>
    <w:rsid w:val="00C7488D"/>
    <w:rsid w:val="00C74DAF"/>
    <w:rsid w:val="00C765BC"/>
    <w:rsid w:val="00C80116"/>
    <w:rsid w:val="00C82654"/>
    <w:rsid w:val="00C83E35"/>
    <w:rsid w:val="00C87BFC"/>
    <w:rsid w:val="00C922F1"/>
    <w:rsid w:val="00C950F8"/>
    <w:rsid w:val="00CA388D"/>
    <w:rsid w:val="00CA5990"/>
    <w:rsid w:val="00CA6F62"/>
    <w:rsid w:val="00CA7E92"/>
    <w:rsid w:val="00CC1045"/>
    <w:rsid w:val="00CC7F75"/>
    <w:rsid w:val="00CD05DE"/>
    <w:rsid w:val="00CD200C"/>
    <w:rsid w:val="00CD506C"/>
    <w:rsid w:val="00CD5EFB"/>
    <w:rsid w:val="00CD6A50"/>
    <w:rsid w:val="00CE5228"/>
    <w:rsid w:val="00CF2F36"/>
    <w:rsid w:val="00CF3C90"/>
    <w:rsid w:val="00CF5E71"/>
    <w:rsid w:val="00CF7FAC"/>
    <w:rsid w:val="00D04D55"/>
    <w:rsid w:val="00D06157"/>
    <w:rsid w:val="00D137E7"/>
    <w:rsid w:val="00D160C1"/>
    <w:rsid w:val="00D17794"/>
    <w:rsid w:val="00D22398"/>
    <w:rsid w:val="00D23AEF"/>
    <w:rsid w:val="00D24352"/>
    <w:rsid w:val="00D30AF6"/>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5AF4"/>
    <w:rsid w:val="00D66171"/>
    <w:rsid w:val="00D6672B"/>
    <w:rsid w:val="00D70D86"/>
    <w:rsid w:val="00D71EEF"/>
    <w:rsid w:val="00D76BA4"/>
    <w:rsid w:val="00D8021D"/>
    <w:rsid w:val="00D82D10"/>
    <w:rsid w:val="00D86784"/>
    <w:rsid w:val="00D920E6"/>
    <w:rsid w:val="00D94E23"/>
    <w:rsid w:val="00D96B31"/>
    <w:rsid w:val="00D96EDC"/>
    <w:rsid w:val="00DA004C"/>
    <w:rsid w:val="00DA459B"/>
    <w:rsid w:val="00DA6FD8"/>
    <w:rsid w:val="00DB1882"/>
    <w:rsid w:val="00DB2CB7"/>
    <w:rsid w:val="00DC1EEB"/>
    <w:rsid w:val="00DC5EF1"/>
    <w:rsid w:val="00DD23C4"/>
    <w:rsid w:val="00DD4A8B"/>
    <w:rsid w:val="00DD4B19"/>
    <w:rsid w:val="00DE00C0"/>
    <w:rsid w:val="00DE2A08"/>
    <w:rsid w:val="00DE2B4D"/>
    <w:rsid w:val="00DF0D77"/>
    <w:rsid w:val="00DF2290"/>
    <w:rsid w:val="00DF4B91"/>
    <w:rsid w:val="00E00E44"/>
    <w:rsid w:val="00E049A8"/>
    <w:rsid w:val="00E12ECB"/>
    <w:rsid w:val="00E13FFA"/>
    <w:rsid w:val="00E1451F"/>
    <w:rsid w:val="00E14B6D"/>
    <w:rsid w:val="00E15A72"/>
    <w:rsid w:val="00E15E28"/>
    <w:rsid w:val="00E16577"/>
    <w:rsid w:val="00E2352A"/>
    <w:rsid w:val="00E24512"/>
    <w:rsid w:val="00E2533A"/>
    <w:rsid w:val="00E26D38"/>
    <w:rsid w:val="00E26EDA"/>
    <w:rsid w:val="00E36051"/>
    <w:rsid w:val="00E408F0"/>
    <w:rsid w:val="00E423F6"/>
    <w:rsid w:val="00E45067"/>
    <w:rsid w:val="00E47CDF"/>
    <w:rsid w:val="00E507B8"/>
    <w:rsid w:val="00E544FA"/>
    <w:rsid w:val="00E55E83"/>
    <w:rsid w:val="00E5792E"/>
    <w:rsid w:val="00E6026D"/>
    <w:rsid w:val="00E6077C"/>
    <w:rsid w:val="00E6182E"/>
    <w:rsid w:val="00E62A60"/>
    <w:rsid w:val="00E6618E"/>
    <w:rsid w:val="00E67190"/>
    <w:rsid w:val="00E67628"/>
    <w:rsid w:val="00E7652F"/>
    <w:rsid w:val="00E77436"/>
    <w:rsid w:val="00E807B9"/>
    <w:rsid w:val="00E80922"/>
    <w:rsid w:val="00E82C8E"/>
    <w:rsid w:val="00E85106"/>
    <w:rsid w:val="00E87CFA"/>
    <w:rsid w:val="00E93D77"/>
    <w:rsid w:val="00E95264"/>
    <w:rsid w:val="00EA2172"/>
    <w:rsid w:val="00EA2DC1"/>
    <w:rsid w:val="00EA7BE0"/>
    <w:rsid w:val="00EA7C64"/>
    <w:rsid w:val="00EB677A"/>
    <w:rsid w:val="00EB79F0"/>
    <w:rsid w:val="00EC325E"/>
    <w:rsid w:val="00EC5571"/>
    <w:rsid w:val="00EC65C2"/>
    <w:rsid w:val="00ED0E8F"/>
    <w:rsid w:val="00ED54FD"/>
    <w:rsid w:val="00EE0782"/>
    <w:rsid w:val="00EE10F2"/>
    <w:rsid w:val="00EE1504"/>
    <w:rsid w:val="00EE3B5B"/>
    <w:rsid w:val="00EE4CC9"/>
    <w:rsid w:val="00EE79F6"/>
    <w:rsid w:val="00EF4800"/>
    <w:rsid w:val="00EF674A"/>
    <w:rsid w:val="00EF77D8"/>
    <w:rsid w:val="00F00A3D"/>
    <w:rsid w:val="00F035C1"/>
    <w:rsid w:val="00F12D12"/>
    <w:rsid w:val="00F17CA4"/>
    <w:rsid w:val="00F217C2"/>
    <w:rsid w:val="00F24DDD"/>
    <w:rsid w:val="00F2770B"/>
    <w:rsid w:val="00F3328F"/>
    <w:rsid w:val="00F33FEA"/>
    <w:rsid w:val="00F340F0"/>
    <w:rsid w:val="00F343BB"/>
    <w:rsid w:val="00F37727"/>
    <w:rsid w:val="00F408FB"/>
    <w:rsid w:val="00F435D5"/>
    <w:rsid w:val="00F537F5"/>
    <w:rsid w:val="00F549A3"/>
    <w:rsid w:val="00F55CBF"/>
    <w:rsid w:val="00F6107E"/>
    <w:rsid w:val="00F63388"/>
    <w:rsid w:val="00F63503"/>
    <w:rsid w:val="00F66F2E"/>
    <w:rsid w:val="00F72B10"/>
    <w:rsid w:val="00F77359"/>
    <w:rsid w:val="00F8260B"/>
    <w:rsid w:val="00F8434B"/>
    <w:rsid w:val="00F86A73"/>
    <w:rsid w:val="00F9174B"/>
    <w:rsid w:val="00FA3361"/>
    <w:rsid w:val="00FA52CE"/>
    <w:rsid w:val="00FA58DA"/>
    <w:rsid w:val="00FA6418"/>
    <w:rsid w:val="00FB0575"/>
    <w:rsid w:val="00FB1F0E"/>
    <w:rsid w:val="00FB3CAF"/>
    <w:rsid w:val="00FB4FF0"/>
    <w:rsid w:val="00FB62DC"/>
    <w:rsid w:val="00FC345B"/>
    <w:rsid w:val="00FC4EF3"/>
    <w:rsid w:val="00FC5C6C"/>
    <w:rsid w:val="00FC663F"/>
    <w:rsid w:val="00FC7B82"/>
    <w:rsid w:val="00FD4E37"/>
    <w:rsid w:val="00FE3B44"/>
    <w:rsid w:val="52CB2027"/>
    <w:rsid w:val="6E255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9C0EC4"/>
  <w15:docId w15:val="{414EB13E-CE30-4716-A086-26E79FD1E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F7E"/>
    <w:pPr>
      <w:overflowPunct w:val="0"/>
      <w:autoSpaceDE w:val="0"/>
      <w:autoSpaceDN w:val="0"/>
      <w:adjustRightInd w:val="0"/>
      <w:spacing w:after="180"/>
      <w:textAlignment w:val="baseline"/>
    </w:pPr>
    <w:rPr>
      <w:rFonts w:eastAsia="Times New Roman"/>
      <w:lang w:val="en-GB" w:eastAsia="zh-TW"/>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TW"/>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zh-TW"/>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zh-TW"/>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zh-T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TW"/>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zh-TW"/>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zh-TW"/>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zh-TW"/>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zh-TW"/>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zh-TW"/>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Pr>
      <w:rFonts w:ascii="Arial" w:eastAsia="Times New Roman" w:hAnsi="Arial"/>
      <w:sz w:val="18"/>
      <w:lang w:val="en-GB" w:eastAsia="zh-TW"/>
    </w:rPr>
  </w:style>
  <w:style w:type="character" w:customStyle="1" w:styleId="TAHCar">
    <w:name w:val="TAH Car"/>
    <w:link w:val="TAH"/>
    <w:rPr>
      <w:rFonts w:ascii="Arial" w:eastAsia="Times New Roman" w:hAnsi="Arial"/>
      <w:b/>
      <w:sz w:val="18"/>
      <w:lang w:val="en-GB" w:eastAsia="zh-TW"/>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zh-TW"/>
    </w:rPr>
  </w:style>
  <w:style w:type="paragraph" w:customStyle="1" w:styleId="Revision1">
    <w:name w:val="Revision1"/>
    <w:hidden/>
    <w:uiPriority w:val="99"/>
    <w:semiHidden/>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zh-TW"/>
    </w:rPr>
  </w:style>
  <w:style w:type="character" w:customStyle="1" w:styleId="FooterChar">
    <w:name w:val="Footer Char"/>
    <w:link w:val="Footer"/>
    <w:rPr>
      <w:rFonts w:ascii="Arial" w:eastAsia="Times New Roman" w:hAnsi="Arial"/>
      <w:b/>
      <w:i/>
      <w:sz w:val="18"/>
      <w:lang w:eastAsia="zh-TW"/>
    </w:rPr>
  </w:style>
  <w:style w:type="character" w:customStyle="1" w:styleId="THChar">
    <w:name w:val="TH Char"/>
    <w:link w:val="TH"/>
    <w:locked/>
    <w:rPr>
      <w:rFonts w:ascii="Arial" w:eastAsia="Times New Roman" w:hAnsi="Arial"/>
      <w:b/>
      <w:lang w:val="en-GB" w:eastAsia="zh-TW"/>
    </w:rPr>
  </w:style>
  <w:style w:type="character" w:customStyle="1" w:styleId="TALCar">
    <w:name w:val="TAL Car"/>
    <w:link w:val="TAL"/>
    <w:locked/>
    <w:rPr>
      <w:rFonts w:ascii="Arial" w:eastAsia="Times New Roman" w:hAnsi="Arial"/>
      <w:sz w:val="18"/>
      <w:lang w:val="en-GB" w:eastAsia="zh-TW"/>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zh-TW"/>
    </w:rPr>
  </w:style>
  <w:style w:type="character" w:customStyle="1" w:styleId="Heading6Char">
    <w:name w:val="Heading 6 Char"/>
    <w:basedOn w:val="DefaultParagraphFont"/>
    <w:link w:val="Heading6"/>
    <w:rPr>
      <w:rFonts w:ascii="Arial" w:eastAsia="Times New Roman" w:hAnsi="Arial"/>
      <w:lang w:val="en-GB" w:eastAsia="zh-TW"/>
    </w:rPr>
  </w:style>
  <w:style w:type="paragraph" w:customStyle="1" w:styleId="tan0">
    <w:name w:val="tan"/>
    <w:basedOn w:val="Normal"/>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uiPriority w:val="99"/>
    <w:qFormat/>
    <w:pPr>
      <w:numPr>
        <w:numId w:val="4"/>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character" w:customStyle="1" w:styleId="Heading4Char">
    <w:name w:val="Heading 4 Char"/>
    <w:basedOn w:val="DefaultParagraphFont"/>
    <w:link w:val="Heading4"/>
    <w:rPr>
      <w:rFonts w:ascii="Arial" w:eastAsia="Times New Roman" w:hAnsi="Arial"/>
      <w:sz w:val="24"/>
      <w:lang w:val="en-GB" w:eastAsia="zh-TW"/>
    </w:rPr>
  </w:style>
  <w:style w:type="paragraph" w:customStyle="1" w:styleId="Doc-comment">
    <w:name w:val="Doc-comment"/>
    <w:basedOn w:val="Normal"/>
    <w:next w:val="Doc-text2"/>
    <w:qFormat/>
    <w:pPr>
      <w:tabs>
        <w:tab w:val="left" w:pos="1622"/>
      </w:tabs>
      <w:spacing w:after="0"/>
      <w:ind w:left="1622" w:hanging="363"/>
    </w:pPr>
    <w:rPr>
      <w:rFonts w:ascii="Arial" w:hAnsi="Arial"/>
      <w:i/>
      <w:lang w:eastAsia="ja-JP"/>
    </w:rPr>
  </w:style>
  <w:style w:type="paragraph" w:customStyle="1" w:styleId="EmailDiscussion">
    <w:name w:val="EmailDiscussion"/>
    <w:basedOn w:val="Normal"/>
    <w:next w:val="Normal"/>
    <w:link w:val="EmailDiscussionChar"/>
    <w:qFormat/>
    <w:pPr>
      <w:numPr>
        <w:numId w:val="5"/>
      </w:numPr>
      <w:spacing w:before="40" w:after="0"/>
      <w:ind w:left="1616" w:hanging="357"/>
    </w:pPr>
    <w:rPr>
      <w:rFonts w:ascii="Arial" w:hAnsi="Arial"/>
      <w:b/>
      <w:lang w:eastAsia="ja-JP"/>
    </w:rPr>
  </w:style>
  <w:style w:type="character" w:customStyle="1" w:styleId="EmailDiscussionChar">
    <w:name w:val="EmailDiscussion Char"/>
    <w:link w:val="EmailDiscussion"/>
    <w:rPr>
      <w:rFonts w:ascii="Arial" w:eastAsia="Times New Roman" w:hAnsi="Arial"/>
      <w:b/>
      <w:lang w:val="en-GB"/>
    </w:rPr>
  </w:style>
  <w:style w:type="character" w:customStyle="1" w:styleId="apple-converted-space">
    <w:name w:val="apple-converted-space"/>
    <w:qFormat/>
  </w:style>
  <w:style w:type="character" w:customStyle="1" w:styleId="B2Char">
    <w:name w:val="B2 Char"/>
    <w:link w:val="B2"/>
    <w:qFormat/>
    <w:rPr>
      <w:rFonts w:eastAsia="Times New Roman"/>
      <w:lang w:val="en-GB" w:eastAsia="zh-TW"/>
    </w:rPr>
  </w:style>
  <w:style w:type="paragraph" w:customStyle="1" w:styleId="DraftProposal">
    <w:name w:val="Draft Proposal"/>
    <w:basedOn w:val="BodyText"/>
    <w:next w:val="Normal"/>
    <w:uiPriority w:val="99"/>
    <w:qFormat/>
    <w:pPr>
      <w:numPr>
        <w:numId w:val="6"/>
      </w:numPr>
      <w:tabs>
        <w:tab w:val="left" w:pos="1701"/>
      </w:tabs>
      <w:spacing w:after="160"/>
    </w:pPr>
    <w:rPr>
      <w:rFonts w:ascii="Arial" w:eastAsiaTheme="minorHAnsi" w:hAnsi="Arial" w:cstheme="minorBidi"/>
      <w:b/>
      <w:bCs/>
      <w:sz w:val="22"/>
      <w:szCs w:val="22"/>
      <w:lang w:val="en-US" w:eastAsia="en-US"/>
    </w:rPr>
  </w:style>
  <w:style w:type="paragraph" w:styleId="NoSpacing">
    <w:name w:val="No Spacing"/>
    <w:uiPriority w:val="1"/>
    <w:qFormat/>
    <w:rPr>
      <w:rFonts w:asciiTheme="minorHAnsi" w:eastAsiaTheme="minorHAnsi" w:hAnsiTheme="minorHAnsi" w:cstheme="minorBidi"/>
      <w:sz w:val="22"/>
      <w:szCs w:val="22"/>
      <w:lang w:eastAsia="en-US"/>
    </w:rPr>
  </w:style>
  <w:style w:type="paragraph" w:customStyle="1" w:styleId="xmsonormal">
    <w:name w:val="x_msonormal"/>
    <w:basedOn w:val="Normal"/>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TFChar">
    <w:name w:val="TF Char"/>
    <w:link w:val="TF"/>
    <w:qFormat/>
    <w:locked/>
    <w:rPr>
      <w:rFonts w:ascii="Arial" w:eastAsia="Times New Roman" w:hAnsi="Arial"/>
      <w:b/>
      <w:lang w:val="en-GB" w:eastAsia="zh-TW"/>
    </w:rPr>
  </w:style>
  <w:style w:type="paragraph" w:customStyle="1" w:styleId="Prop1">
    <w:name w:val="Prop1"/>
    <w:basedOn w:val="ListParagraph"/>
    <w:uiPriority w:val="99"/>
    <w:qFormat/>
    <w:pPr>
      <w:widowControl/>
      <w:ind w:leftChars="0" w:left="0"/>
      <w:jc w:val="left"/>
    </w:pPr>
    <w:rPr>
      <w:rFonts w:ascii="Times New Roman" w:eastAsiaTheme="minorEastAsia" w:hAnsi="Times New Roman"/>
      <w:b/>
      <w:kern w:val="0"/>
      <w:sz w:val="20"/>
      <w:szCs w:val="21"/>
      <w:lang w:eastAsia="zh-CN"/>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ascii="Malgun Gothic" w:eastAsia="Malgun Gothic" w:hAnsi="Malgun Gothic" w:cs="Batang"/>
      <w:lang w:val="en-US"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rsid w:val="00777F7E"/>
    <w:rPr>
      <w:rFonts w:ascii="Arial" w:eastAsia="Times New Roman" w:hAnsi="Arial"/>
      <w:sz w:val="3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6059283">
      <w:bodyDiv w:val="1"/>
      <w:marLeft w:val="0"/>
      <w:marRight w:val="0"/>
      <w:marTop w:val="0"/>
      <w:marBottom w:val="0"/>
      <w:divBdr>
        <w:top w:val="none" w:sz="0" w:space="0" w:color="auto"/>
        <w:left w:val="none" w:sz="0" w:space="0" w:color="auto"/>
        <w:bottom w:val="none" w:sz="0" w:space="0" w:color="auto"/>
        <w:right w:val="none" w:sz="0" w:space="0" w:color="auto"/>
      </w:divBdr>
    </w:div>
    <w:div w:id="1600214947">
      <w:bodyDiv w:val="1"/>
      <w:marLeft w:val="0"/>
      <w:marRight w:val="0"/>
      <w:marTop w:val="0"/>
      <w:marBottom w:val="0"/>
      <w:divBdr>
        <w:top w:val="none" w:sz="0" w:space="0" w:color="auto"/>
        <w:left w:val="none" w:sz="0" w:space="0" w:color="auto"/>
        <w:bottom w:val="none" w:sz="0" w:space="0" w:color="auto"/>
        <w:right w:val="none" w:sz="0" w:space="0" w:color="auto"/>
      </w:divBdr>
    </w:div>
    <w:div w:id="1752654636">
      <w:bodyDiv w:val="1"/>
      <w:marLeft w:val="0"/>
      <w:marRight w:val="0"/>
      <w:marTop w:val="0"/>
      <w:marBottom w:val="0"/>
      <w:divBdr>
        <w:top w:val="none" w:sz="0" w:space="0" w:color="auto"/>
        <w:left w:val="none" w:sz="0" w:space="0" w:color="auto"/>
        <w:bottom w:val="none" w:sz="0" w:space="0" w:color="auto"/>
        <w:right w:val="none" w:sz="0" w:space="0" w:color="auto"/>
      </w:divBdr>
    </w:div>
    <w:div w:id="2032293871">
      <w:bodyDiv w:val="1"/>
      <w:marLeft w:val="0"/>
      <w:marRight w:val="0"/>
      <w:marTop w:val="0"/>
      <w:marBottom w:val="0"/>
      <w:divBdr>
        <w:top w:val="none" w:sz="0" w:space="0" w:color="auto"/>
        <w:left w:val="none" w:sz="0" w:space="0" w:color="auto"/>
        <w:bottom w:val="none" w:sz="0" w:space="0" w:color="auto"/>
        <w:right w:val="none" w:sz="0" w:space="0" w:color="auto"/>
      </w:divBdr>
    </w:div>
    <w:div w:id="21046466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D3EB17B-21DD-4D97-81FE-473EE2A67A45}">
  <ds:schemaRefs>
    <ds:schemaRef ds:uri="http://schemas.microsoft.com/sharepoint/v3/contenttype/forms"/>
  </ds:schemaRefs>
</ds:datastoreItem>
</file>

<file path=customXml/itemProps2.xml><?xml version="1.0" encoding="utf-8"?>
<ds:datastoreItem xmlns:ds="http://schemas.openxmlformats.org/officeDocument/2006/customXml" ds:itemID="{6A0F948A-55CA-4413-A811-30B7F0662B5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3D4F0E3C-D986-4875-808E-54063B9FCFD6}">
  <ds:schemaRefs>
    <ds:schemaRef ds:uri="http://schemas.openxmlformats.org/officeDocument/2006/bibliography"/>
  </ds:schemaRefs>
</ds:datastoreItem>
</file>

<file path=customXml/itemProps4.xml><?xml version="1.0" encoding="utf-8"?>
<ds:datastoreItem xmlns:ds="http://schemas.openxmlformats.org/officeDocument/2006/customXml" ds:itemID="{50E7281C-35AD-4DD2-86D4-9E14D191F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1167</Words>
  <Characters>6654</Characters>
  <Application>Microsoft Office Word</Application>
  <DocSecurity>0</DocSecurity>
  <Lines>55</Lines>
  <Paragraphs>15</Paragraphs>
  <ScaleCrop>false</ScaleCrop>
  <Company>株式会社エヌ・ティ・ティ・ドコモ</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Abhishek Roy [MediaTek]</cp:lastModifiedBy>
  <cp:revision>5</cp:revision>
  <dcterms:created xsi:type="dcterms:W3CDTF">2023-02-16T19:32:00Z</dcterms:created>
  <dcterms:modified xsi:type="dcterms:W3CDTF">2023-02-16T19:54:00Z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y fmtid="{D5CDD505-2E9C-101B-9397-08002B2CF9AE}" pid="12" name="KSOProductBuildVer">
    <vt:lpwstr>2052-11.8.2.9022</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2022-11-03T17:21:04Z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49f81496-b839-4d38-9b33-eb32d9a96bd6</vt:lpwstr>
  </property>
  <property fmtid="{D5CDD505-2E9C-101B-9397-08002B2CF9AE}" pid="19" name="MSIP_Label_83bcef13-7cac-433f-ba1d-47a323951816_ContentBits">
    <vt:lpwstr>0</vt:lpwstr>
  </property>
</Properties>
</file>